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北魏楷书简体" w:hAnsi="方正北魏楷书简体" w:eastAsia="方正北魏楷书简体" w:cs="方正北魏楷书简体"/>
          <w:color w:val="0070C0"/>
          <w:sz w:val="36"/>
          <w:szCs w:val="36"/>
        </w:rPr>
      </w:pPr>
    </w:p>
    <w:p>
      <w:pPr>
        <w:ind w:firstLine="360" w:firstLineChars="100"/>
        <w:jc w:val="left"/>
        <w:rPr>
          <w:rFonts w:ascii="方正北魏楷书简体" w:hAnsi="方正北魏楷书简体" w:eastAsia="方正北魏楷书简体" w:cs="方正北魏楷书简体"/>
          <w:color w:val="0070C0"/>
          <w:sz w:val="32"/>
          <w:szCs w:val="32"/>
        </w:rPr>
      </w:pPr>
      <w:r>
        <w:rPr>
          <w:rFonts w:hint="eastAsia" w:ascii="楷体_GB2312" w:eastAsia="楷体_GB2312"/>
          <w:sz w:val="36"/>
          <w:szCs w:val="36"/>
        </w:rPr>
        <w:drawing>
          <wp:anchor distT="0" distB="0" distL="114300" distR="114300" simplePos="0" relativeHeight="251659264" behindDoc="0" locked="0" layoutInCell="1" allowOverlap="1">
            <wp:simplePos x="0" y="0"/>
            <wp:positionH relativeFrom="column">
              <wp:posOffset>62865</wp:posOffset>
            </wp:positionH>
            <wp:positionV relativeFrom="paragraph">
              <wp:posOffset>61595</wp:posOffset>
            </wp:positionV>
            <wp:extent cx="570865" cy="647700"/>
            <wp:effectExtent l="0" t="0" r="8255" b="7620"/>
            <wp:wrapSquare wrapText="bothSides"/>
            <wp:docPr id="2" name="图片 1" descr="法徽红白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法徽红白图"/>
                    <pic:cNvPicPr>
                      <a:picLocks noChangeAspect="1"/>
                    </pic:cNvPicPr>
                  </pic:nvPicPr>
                  <pic:blipFill>
                    <a:blip r:embed="rId13" cstate="print"/>
                    <a:stretch>
                      <a:fillRect/>
                    </a:stretch>
                  </pic:blipFill>
                  <pic:spPr>
                    <a:xfrm>
                      <a:off x="0" y="0"/>
                      <a:ext cx="570865" cy="647700"/>
                    </a:xfrm>
                    <a:prstGeom prst="rect">
                      <a:avLst/>
                    </a:prstGeom>
                  </pic:spPr>
                </pic:pic>
              </a:graphicData>
            </a:graphic>
          </wp:anchor>
        </w:drawing>
      </w:r>
    </w:p>
    <w:p>
      <w:pPr>
        <w:ind w:firstLine="640" w:firstLineChars="200"/>
        <w:jc w:val="left"/>
        <w:rPr>
          <w:rFonts w:ascii="方正北魏楷书简体" w:hAnsi="方正北魏楷书简体" w:eastAsia="方正北魏楷书简体" w:cs="方正北魏楷书简体"/>
          <w:color w:val="0070C0"/>
          <w:sz w:val="32"/>
          <w:szCs w:val="32"/>
        </w:rPr>
      </w:pPr>
      <w:r>
        <w:rPr>
          <w:rFonts w:hint="eastAsia" w:ascii="方正北魏楷书简体" w:hAnsi="方正北魏楷书简体" w:eastAsia="方正北魏楷书简体" w:cs="方正北魏楷书简体"/>
          <w:color w:val="0070C0"/>
          <w:sz w:val="32"/>
          <w:szCs w:val="32"/>
        </w:rPr>
        <w:t>扶余市人民法院</w:t>
      </w:r>
    </w:p>
    <w:p>
      <w:pPr>
        <w:ind w:firstLine="1760" w:firstLineChars="550"/>
        <w:jc w:val="left"/>
        <w:rPr>
          <w:rFonts w:ascii="方正小标宋简体" w:hAnsi="方正小标宋简体" w:eastAsia="方正小标宋简体" w:cs="方正小标宋简体"/>
          <w:b/>
          <w:bCs/>
          <w:color w:val="000000" w:themeColor="text1"/>
          <w:sz w:val="32"/>
          <w:szCs w:val="32"/>
        </w:rPr>
      </w:pPr>
      <w:r>
        <w:rPr>
          <w:rFonts w:hint="eastAsia" w:ascii="方正北魏楷书简体" w:hAnsi="方正北魏楷书简体" w:eastAsia="方正北魏楷书简体" w:cs="方正北魏楷书简体"/>
          <w:color w:val="0070C0"/>
          <w:sz w:val="32"/>
          <w:szCs w:val="32"/>
        </w:rPr>
        <w:t>审判管理办公室</w:t>
      </w:r>
    </w:p>
    <w:p>
      <w:pPr>
        <w:rPr>
          <w:rFonts w:ascii="方正小标宋简体" w:hAnsi="方正小标宋简体" w:eastAsia="方正小标宋简体" w:cs="方正小标宋简体"/>
          <w:b/>
          <w:bCs/>
          <w:color w:val="000000" w:themeColor="text1"/>
          <w:sz w:val="84"/>
          <w:szCs w:val="84"/>
        </w:rPr>
      </w:pPr>
    </w:p>
    <w:p>
      <w:pPr>
        <w:jc w:val="center"/>
        <w:rPr>
          <w:rFonts w:ascii="方正小标宋简体" w:hAnsi="方正小标宋简体" w:eastAsia="方正小标宋简体" w:cs="方正小标宋简体"/>
          <w:color w:val="000000" w:themeColor="text1"/>
          <w:sz w:val="56"/>
          <w:szCs w:val="56"/>
        </w:rPr>
      </w:pPr>
      <w:r>
        <w:rPr>
          <w:rFonts w:hint="eastAsia" w:ascii="方正小标宋简体" w:hAnsi="方正小标宋简体" w:eastAsia="方正小标宋简体" w:cs="方正小标宋简体"/>
          <w:color w:val="000000" w:themeColor="text1"/>
          <w:sz w:val="56"/>
          <w:szCs w:val="56"/>
        </w:rPr>
        <w:t>扶余法院审判工作月度报告</w:t>
      </w:r>
    </w:p>
    <w:p>
      <w:pPr>
        <w:jc w:val="center"/>
        <w:rPr>
          <w:rFonts w:ascii="楷体_GB2312" w:eastAsia="楷体_GB2312"/>
          <w:sz w:val="36"/>
          <w:szCs w:val="20"/>
        </w:rPr>
      </w:pPr>
    </w:p>
    <w:p>
      <w:pPr>
        <w:jc w:val="center"/>
        <w:rPr>
          <w:rFonts w:ascii="楷体_GB2312" w:eastAsia="楷体_GB2312"/>
          <w:sz w:val="36"/>
          <w:szCs w:val="20"/>
        </w:rPr>
      </w:pPr>
      <w:r>
        <w:rPr>
          <w:rFonts w:hint="eastAsia" w:ascii="楷体_GB2312" w:eastAsia="楷体_GB2312"/>
          <w:sz w:val="36"/>
          <w:szCs w:val="20"/>
        </w:rPr>
        <w:t>（2020年度2月）</w:t>
      </w:r>
    </w:p>
    <w:p>
      <w:pPr>
        <w:rPr>
          <w:rFonts w:ascii="楷体_GB2312" w:eastAsia="楷体_GB2312"/>
          <w:sz w:val="44"/>
        </w:rPr>
      </w:pPr>
    </w:p>
    <w:p>
      <w:pPr>
        <w:rPr>
          <w:rFonts w:ascii="楷体_GB2312" w:eastAsia="楷体_GB2312"/>
          <w:sz w:val="44"/>
        </w:rPr>
      </w:pPr>
    </w:p>
    <w:p>
      <w:pPr>
        <w:rPr>
          <w:rFonts w:ascii="方正小标宋简体" w:eastAsia="方正小标宋简体"/>
          <w:sz w:val="36"/>
        </w:rPr>
      </w:pPr>
    </w:p>
    <w:p>
      <w:pPr>
        <w:rPr>
          <w:rFonts w:ascii="方正小标宋简体" w:hAnsi="方正小标宋简体" w:eastAsia="方正小标宋简体" w:cs="方正小标宋简体"/>
          <w:b/>
          <w:bCs/>
          <w:sz w:val="32"/>
          <w:szCs w:val="36"/>
        </w:rPr>
      </w:pPr>
    </w:p>
    <w:p>
      <w:pPr>
        <w:rPr>
          <w:rFonts w:ascii="方正小标宋简体" w:hAnsi="方正小标宋简体" w:eastAsia="方正小标宋简体" w:cs="方正小标宋简体"/>
          <w:b/>
          <w:bCs/>
          <w:sz w:val="32"/>
          <w:szCs w:val="36"/>
        </w:rPr>
      </w:pPr>
    </w:p>
    <w:p>
      <w:pPr>
        <w:rPr>
          <w:rFonts w:ascii="方正小标宋简体" w:hAnsi="方正小标宋简体" w:eastAsia="方正小标宋简体" w:cs="方正小标宋简体"/>
          <w:b/>
          <w:bCs/>
          <w:sz w:val="32"/>
          <w:szCs w:val="36"/>
        </w:rPr>
      </w:pPr>
    </w:p>
    <w:p>
      <w:pPr>
        <w:jc w:val="center"/>
        <w:rPr>
          <w:rFonts w:ascii="方正小标宋简体" w:eastAsia="方正小标宋简体"/>
          <w:sz w:val="40"/>
        </w:rPr>
      </w:pPr>
      <w:r>
        <w:rPr>
          <w:rFonts w:hint="eastAsia" w:ascii="方正小标宋简体" w:hAnsi="方正小标宋简体" w:eastAsia="方正小标宋简体" w:cs="方正小标宋简体"/>
          <w:sz w:val="36"/>
          <w:szCs w:val="40"/>
        </w:rPr>
        <w:t>二〇二〇年三月十一日</w:t>
      </w:r>
    </w:p>
    <w:p>
      <w:pPr>
        <w:rPr>
          <w:rFonts w:ascii="方正小标宋简体" w:eastAsia="方正小标宋简体"/>
          <w:sz w:val="40"/>
        </w:rPr>
      </w:pPr>
    </w:p>
    <w:p>
      <w:pPr>
        <w:snapToGrid w:val="0"/>
        <w:rPr>
          <w:rFonts w:ascii="方正小标宋简体" w:eastAsia="方正小标宋简体"/>
          <w:sz w:val="44"/>
        </w:rPr>
        <w:sectPr>
          <w:headerReference r:id="rId5" w:type="first"/>
          <w:footerReference r:id="rId8" w:type="first"/>
          <w:headerReference r:id="rId3" w:type="default"/>
          <w:footerReference r:id="rId6" w:type="default"/>
          <w:headerReference r:id="rId4" w:type="even"/>
          <w:footerReference r:id="rId7" w:type="even"/>
          <w:pgSz w:w="11906" w:h="16838"/>
          <w:pgMar w:top="1361" w:right="1418" w:bottom="1361" w:left="1418" w:header="851" w:footer="992" w:gutter="0"/>
          <w:pgNumType w:fmt="numberInDash" w:start="0"/>
          <w:cols w:space="0" w:num="1"/>
          <w:titlePg/>
          <w:docGrid w:type="lines" w:linePitch="312" w:charSpace="0"/>
        </w:sectPr>
      </w:pPr>
    </w:p>
    <w:p>
      <w:pPr>
        <w:snapToGrid w:val="0"/>
        <w:rPr>
          <w:rFonts w:ascii="方正小标宋简体" w:eastAsia="方正小标宋简体"/>
          <w:sz w:val="44"/>
        </w:rPr>
      </w:pPr>
    </w:p>
    <w:p>
      <w:pPr>
        <w:spacing w:line="500" w:lineRule="exact"/>
        <w:jc w:val="center"/>
        <w:rPr>
          <w:rFonts w:ascii="宋体" w:hAnsi="宋体" w:eastAsia="宋体" w:cs="宋体"/>
          <w:color w:val="000000"/>
          <w:sz w:val="44"/>
          <w:szCs w:val="44"/>
        </w:rPr>
      </w:pPr>
      <w:r>
        <w:rPr>
          <w:rFonts w:hint="eastAsia" w:ascii="方正小标宋简体" w:hAnsi="方正小标宋简体" w:eastAsia="方正小标宋简体" w:cs="方正小标宋简体"/>
          <w:color w:val="000000" w:themeColor="text1"/>
          <w:sz w:val="44"/>
          <w:szCs w:val="44"/>
        </w:rPr>
        <w:t>扶余法院审判工作月度报告</w:t>
      </w:r>
    </w:p>
    <w:p>
      <w:pPr>
        <w:spacing w:line="500" w:lineRule="exact"/>
        <w:jc w:val="center"/>
        <w:rPr>
          <w:rFonts w:ascii="宋体" w:hAnsi="宋体" w:eastAsia="宋体" w:cs="宋体"/>
          <w:color w:val="000000"/>
          <w:sz w:val="44"/>
          <w:szCs w:val="44"/>
        </w:rPr>
      </w:pPr>
    </w:p>
    <w:p>
      <w:pPr>
        <w:spacing w:line="360" w:lineRule="auto"/>
        <w:ind w:firstLine="640" w:firstLineChars="200"/>
        <w:rPr>
          <w:rFonts w:ascii="黑体" w:hAnsi="黑体" w:eastAsia="黑体" w:cs="黑体"/>
          <w:bCs/>
          <w:color w:val="FF0000"/>
          <w:sz w:val="32"/>
          <w:szCs w:val="32"/>
        </w:rPr>
      </w:pPr>
      <w:r>
        <w:rPr>
          <w:rFonts w:hint="eastAsia" w:ascii="黑体" w:hAnsi="黑体" w:eastAsia="黑体" w:cs="黑体"/>
          <w:bCs/>
          <w:color w:val="000000"/>
          <w:sz w:val="32"/>
          <w:szCs w:val="32"/>
        </w:rPr>
        <w:t>一、基础审判数据情况</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（一）审判效率情况</w:t>
      </w:r>
    </w:p>
    <w:p>
      <w:pPr>
        <w:spacing w:line="360" w:lineRule="auto"/>
        <w:ind w:firstLine="643" w:firstLineChars="200"/>
        <w:rPr>
          <w:rFonts w:ascii="仿宋_GB2312" w:hAnsi="仿宋_GB2312" w:eastAsia="仿宋_GB2312" w:cs="仿宋_GB2312"/>
          <w:b/>
          <w:color w:val="000000"/>
          <w:sz w:val="32"/>
          <w:szCs w:val="32"/>
        </w:rPr>
      </w:pPr>
      <w:r>
        <w:rPr>
          <w:rFonts w:hint="eastAsia" w:ascii="楷体_GB2312" w:hAnsi="楷体" w:eastAsia="楷体_GB2312" w:cs="Times New Roman"/>
          <w:b/>
          <w:sz w:val="32"/>
          <w:szCs w:val="32"/>
        </w:rPr>
        <w:t>1</w:t>
      </w:r>
      <w:r>
        <w:rPr>
          <w:rFonts w:hint="eastAsia" w:ascii="楷体_GB2312" w:hAnsi="楷体" w:eastAsia="楷体_GB2312" w:cs="Times New Roman"/>
          <w:sz w:val="32"/>
          <w:szCs w:val="32"/>
        </w:rPr>
        <w:t>.</w:t>
      </w:r>
      <w:r>
        <w:rPr>
          <w:rFonts w:hint="eastAsia" w:ascii="仿宋_GB2312" w:hAnsi="仿宋_GB2312" w:eastAsia="仿宋_GB2312" w:cs="仿宋_GB2312"/>
          <w:b/>
          <w:color w:val="000000"/>
          <w:sz w:val="32"/>
          <w:szCs w:val="32"/>
        </w:rPr>
        <w:t>结案率与结收比情况</w:t>
      </w:r>
    </w:p>
    <w:p>
      <w:pPr>
        <w:spacing w:line="360" w:lineRule="auto"/>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color w:val="000000"/>
          <w:sz w:val="32"/>
          <w:szCs w:val="32"/>
        </w:rPr>
        <w:t>结案率情况</w:t>
      </w:r>
    </w:p>
    <w:p>
      <w:pPr>
        <w:spacing w:line="360" w:lineRule="auto"/>
        <w:ind w:firstLine="420" w:firstLineChars="200"/>
        <w:rPr>
          <w:rFonts w:ascii="仿宋_GB2312" w:hAnsi="仿宋_GB2312" w:eastAsia="仿宋_GB2312" w:cs="仿宋_GB2312"/>
          <w:b/>
          <w:color w:val="000000"/>
          <w:sz w:val="32"/>
          <w:szCs w:val="32"/>
        </w:rPr>
      </w:pPr>
      <w:r>
        <w:rPr>
          <w:szCs w:val="32"/>
        </w:rPr>
        <w:drawing>
          <wp:inline distT="0" distB="0" distL="0" distR="0">
            <wp:extent cx="5109210" cy="6237605"/>
            <wp:effectExtent l="1905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noChangeArrowheads="1"/>
                    </pic:cNvPicPr>
                  </pic:nvPicPr>
                  <pic:blipFill>
                    <a:blip r:embed="rId14" cstate="print"/>
                    <a:srcRect/>
                    <a:stretch>
                      <a:fillRect/>
                    </a:stretch>
                  </pic:blipFill>
                  <pic:spPr>
                    <a:xfrm>
                      <a:off x="0" y="0"/>
                      <a:ext cx="5109210" cy="6238140"/>
                    </a:xfrm>
                    <a:prstGeom prst="rect">
                      <a:avLst/>
                    </a:prstGeom>
                    <a:noFill/>
                    <a:ln w="9525">
                      <a:noFill/>
                      <a:miter lim="800000"/>
                      <a:headEnd/>
                      <a:tailEnd/>
                    </a:ln>
                  </pic:spPr>
                </pic:pic>
              </a:graphicData>
            </a:graphic>
          </wp:inline>
        </w:drawing>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（2）结收比情况</w:t>
      </w:r>
    </w:p>
    <w:p>
      <w:pPr>
        <w:spacing w:line="360" w:lineRule="auto"/>
        <w:ind w:firstLine="640" w:firstLineChars="200"/>
        <w:rPr>
          <w:rFonts w:ascii="仿宋_GB2312" w:hAnsi="仿宋_GB2312" w:eastAsia="仿宋_GB2312" w:cs="仿宋_GB2312"/>
          <w:sz w:val="32"/>
          <w:szCs w:val="32"/>
        </w:rPr>
      </w:pPr>
    </w:p>
    <w:tbl>
      <w:tblPr>
        <w:tblStyle w:val="8"/>
        <w:tblW w:w="7501" w:type="dxa"/>
        <w:tblInd w:w="791" w:type="dxa"/>
        <w:tblLayout w:type="fixed"/>
        <w:tblCellMar>
          <w:top w:w="0" w:type="dxa"/>
          <w:left w:w="108" w:type="dxa"/>
          <w:bottom w:w="0" w:type="dxa"/>
          <w:right w:w="108" w:type="dxa"/>
        </w:tblCellMar>
      </w:tblPr>
      <w:tblGrid>
        <w:gridCol w:w="1214"/>
        <w:gridCol w:w="1786"/>
        <w:gridCol w:w="1214"/>
        <w:gridCol w:w="1214"/>
        <w:gridCol w:w="2073"/>
      </w:tblGrid>
      <w:tr>
        <w:tblPrEx>
          <w:tblLayout w:type="fixed"/>
          <w:tblCellMar>
            <w:top w:w="0" w:type="dxa"/>
            <w:left w:w="108" w:type="dxa"/>
            <w:bottom w:w="0" w:type="dxa"/>
            <w:right w:w="108" w:type="dxa"/>
          </w:tblCellMar>
        </w:tblPrEx>
        <w:trPr>
          <w:trHeight w:val="528" w:hRule="atLeast"/>
        </w:trPr>
        <w:tc>
          <w:tcPr>
            <w:tcW w:w="7501"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扶余市法院1-2月诉讼类员额法官结收比统计表</w:t>
            </w:r>
          </w:p>
        </w:tc>
      </w:tr>
      <w:tr>
        <w:tblPrEx>
          <w:tblLayout w:type="fixed"/>
          <w:tblCellMar>
            <w:top w:w="0" w:type="dxa"/>
            <w:left w:w="108" w:type="dxa"/>
            <w:bottom w:w="0" w:type="dxa"/>
            <w:right w:w="108" w:type="dxa"/>
          </w:tblCellMar>
        </w:tblPrEx>
        <w:trPr>
          <w:trHeight w:val="321" w:hRule="atLeast"/>
        </w:trPr>
        <w:tc>
          <w:tcPr>
            <w:tcW w:w="7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统计日期：2020-01-01到2020-02-29                                统计部门：审管办</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新收</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已结</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结收比</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王成芳</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刘虹玫</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114.29%</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曹  杨</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104.35%</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杜亚坤</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杨雪娇</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郭文吉</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苗得志</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卢  欣</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71</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71.83%</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吕相峰</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64.29%</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孙艳娟</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71</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59.15%</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刘士权</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81</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53.09%</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乔文彬</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47.06%</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朱国君</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程彦彬</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35.71%</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徐志军</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34.04%</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魏红尘</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33.33%</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郭焕海</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33.33%</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刘巨龙</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33.33%</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房立坤</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于洪涛</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72</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31.94%</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宋家君</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30.61%</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徐冬颖</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张丹丹</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64</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26.56%</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王轶男</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21.54%</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吕秀贤</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21.43%</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李春雨</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6.25%</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  欣</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5.88%</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李玉林</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王安君</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21"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赵景坤</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blPrEx>
          <w:tblLayout w:type="fixed"/>
          <w:tblCellMar>
            <w:top w:w="0" w:type="dxa"/>
            <w:left w:w="108" w:type="dxa"/>
            <w:bottom w:w="0" w:type="dxa"/>
            <w:right w:w="108" w:type="dxa"/>
          </w:tblCellMar>
        </w:tblPrEx>
        <w:trPr>
          <w:trHeight w:val="321" w:hRule="atLeast"/>
        </w:trPr>
        <w:tc>
          <w:tcPr>
            <w:tcW w:w="3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  计</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825</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344</w:t>
            </w:r>
          </w:p>
        </w:tc>
        <w:tc>
          <w:tcPr>
            <w:tcW w:w="20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41.70%</w:t>
            </w:r>
          </w:p>
        </w:tc>
      </w:tr>
    </w:tbl>
    <w:p>
      <w:pPr>
        <w:spacing w:line="360" w:lineRule="auto"/>
        <w:jc w:val="left"/>
        <w:rPr>
          <w:rFonts w:ascii="楷体_GB2312" w:hAnsi="仿宋" w:eastAsia="楷体_GB2312" w:cs="Times New Roman"/>
          <w:sz w:val="32"/>
          <w:szCs w:val="32"/>
        </w:rPr>
      </w:pPr>
    </w:p>
    <w:p>
      <w:pPr>
        <w:spacing w:line="360" w:lineRule="auto"/>
        <w:jc w:val="left"/>
        <w:rPr>
          <w:rFonts w:ascii="楷体_GB2312" w:hAnsi="仿宋" w:eastAsia="楷体_GB2312" w:cs="Times New Roman"/>
          <w:sz w:val="32"/>
          <w:szCs w:val="32"/>
        </w:rPr>
      </w:pPr>
    </w:p>
    <w:p>
      <w:pPr>
        <w:spacing w:line="360" w:lineRule="auto"/>
        <w:ind w:firstLine="643" w:firstLineChars="200"/>
        <w:jc w:val="left"/>
        <w:rPr>
          <w:rFonts w:ascii="楷体_GB2312" w:hAnsi="楷体" w:eastAsia="楷体_GB2312" w:cs="Times New Roman"/>
          <w:b/>
          <w:sz w:val="32"/>
          <w:szCs w:val="32"/>
        </w:rPr>
      </w:pPr>
      <w:r>
        <w:rPr>
          <w:rFonts w:hint="eastAsia" w:ascii="楷体_GB2312" w:hAnsi="楷体" w:eastAsia="楷体_GB2312" w:cs="Times New Roman"/>
          <w:b/>
          <w:sz w:val="32"/>
          <w:szCs w:val="32"/>
        </w:rPr>
        <w:t>2.旧存案件占比</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今年省院的这项考核指标对我院非常有利，旧存案件越少，分数会越高。</w:t>
      </w:r>
    </w:p>
    <w:tbl>
      <w:tblPr>
        <w:tblStyle w:val="8"/>
        <w:tblW w:w="7740" w:type="dxa"/>
        <w:tblInd w:w="671" w:type="dxa"/>
        <w:tblLayout w:type="fixed"/>
        <w:tblCellMar>
          <w:top w:w="0" w:type="dxa"/>
          <w:left w:w="108" w:type="dxa"/>
          <w:bottom w:w="0" w:type="dxa"/>
          <w:right w:w="108" w:type="dxa"/>
        </w:tblCellMar>
      </w:tblPr>
      <w:tblGrid>
        <w:gridCol w:w="934"/>
        <w:gridCol w:w="1367"/>
        <w:gridCol w:w="933"/>
        <w:gridCol w:w="933"/>
        <w:gridCol w:w="3573"/>
      </w:tblGrid>
      <w:tr>
        <w:tblPrEx>
          <w:tblLayout w:type="fixed"/>
          <w:tblCellMar>
            <w:top w:w="0" w:type="dxa"/>
            <w:left w:w="108" w:type="dxa"/>
            <w:bottom w:w="0" w:type="dxa"/>
            <w:right w:w="108" w:type="dxa"/>
          </w:tblCellMar>
        </w:tblPrEx>
        <w:trPr>
          <w:trHeight w:val="468" w:hRule="atLeast"/>
        </w:trPr>
        <w:tc>
          <w:tcPr>
            <w:tcW w:w="7740"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扶余市法院1-2月诉讼类员额法官旧存占比（反向）统计表</w:t>
            </w:r>
          </w:p>
        </w:tc>
      </w:tr>
      <w:tr>
        <w:tblPrEx>
          <w:tblLayout w:type="fixed"/>
          <w:tblCellMar>
            <w:top w:w="0" w:type="dxa"/>
            <w:left w:w="108" w:type="dxa"/>
            <w:bottom w:w="0" w:type="dxa"/>
            <w:right w:w="108" w:type="dxa"/>
          </w:tblCellMar>
        </w:tblPrEx>
        <w:trPr>
          <w:trHeight w:val="321" w:hRule="atLeast"/>
        </w:trPr>
        <w:tc>
          <w:tcPr>
            <w:tcW w:w="774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统计日期：2020-01-01到2020-02-29                                 统计部门：审管办</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序号</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人员</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旧存</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旧存占比（反向）</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杜亚坤</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吕相峰</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魏红尘</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赵景坤</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于洪涛</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96.00%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卢  欣</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74</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95.95%</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王安君</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94.12%</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曹  杨</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92.00%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李玉林</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91.43%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郭焕海</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85.71%</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刘士权</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85.26%</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王成芳</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83.33%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张丹丹</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77</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83.12%</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孙艳娟</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87</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81.61%</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  欣</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80.95%</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徐冬颖</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80.65%</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宋家君</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80.33%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王轶男</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82</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79.27%</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徐志军</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78.33%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房立坤</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78.13%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李春雨</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72.73%</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杨雪娇</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66.67%</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吕秀贤</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刘虹玫</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乔文彬</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朱国君</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50.00%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程彦彬</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46.67%</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郭文吉</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37.50%</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刘巨龙</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34.09%</w:t>
            </w:r>
          </w:p>
        </w:tc>
      </w:tr>
      <w:tr>
        <w:tblPrEx>
          <w:tblLayout w:type="fixed"/>
          <w:tblCellMar>
            <w:top w:w="0" w:type="dxa"/>
            <w:left w:w="108" w:type="dxa"/>
            <w:bottom w:w="0" w:type="dxa"/>
            <w:right w:w="108" w:type="dxa"/>
          </w:tblCellMar>
        </w:tblPrEx>
        <w:trPr>
          <w:trHeight w:val="321" w:hRule="atLeast"/>
        </w:trPr>
        <w:tc>
          <w:tcPr>
            <w:tcW w:w="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3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苗得志</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29.73%</w:t>
            </w:r>
          </w:p>
        </w:tc>
      </w:tr>
      <w:tr>
        <w:tblPrEx>
          <w:tblLayout w:type="fixed"/>
          <w:tblCellMar>
            <w:top w:w="0" w:type="dxa"/>
            <w:left w:w="108" w:type="dxa"/>
            <w:bottom w:w="0" w:type="dxa"/>
            <w:right w:w="108" w:type="dxa"/>
          </w:tblCellMar>
        </w:tblPrEx>
        <w:trPr>
          <w:trHeight w:val="321" w:hRule="atLeast"/>
        </w:trPr>
        <w:tc>
          <w:tcPr>
            <w:tcW w:w="230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250</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1075</w:t>
            </w:r>
          </w:p>
        </w:tc>
        <w:tc>
          <w:tcPr>
            <w:tcW w:w="3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76.74%</w:t>
            </w:r>
          </w:p>
        </w:tc>
      </w:tr>
    </w:tbl>
    <w:p>
      <w:pPr>
        <w:spacing w:line="360" w:lineRule="auto"/>
        <w:rPr>
          <w:rFonts w:ascii="仿宋_GB2312" w:hAnsi="黑体" w:eastAsia="仿宋_GB2312" w:cs="Times New Roman"/>
          <w:sz w:val="32"/>
          <w:szCs w:val="32"/>
        </w:rPr>
      </w:pPr>
    </w:p>
    <w:p>
      <w:pPr>
        <w:spacing w:line="360" w:lineRule="auto"/>
        <w:ind w:firstLine="643" w:firstLineChars="200"/>
        <w:jc w:val="left"/>
        <w:rPr>
          <w:rFonts w:ascii="楷体_GB2312" w:hAnsi="楷体" w:eastAsia="楷体_GB2312" w:cs="Times New Roman"/>
          <w:b/>
          <w:sz w:val="32"/>
          <w:szCs w:val="32"/>
        </w:rPr>
      </w:pPr>
      <w:r>
        <w:rPr>
          <w:rFonts w:hint="eastAsia" w:ascii="楷体_GB2312" w:hAnsi="楷体" w:eastAsia="楷体_GB2312" w:cs="Times New Roman"/>
          <w:b/>
          <w:sz w:val="32"/>
          <w:szCs w:val="32"/>
        </w:rPr>
        <w:t>3.诉讼案件平均审理天数</w:t>
      </w:r>
    </w:p>
    <w:p>
      <w:pPr>
        <w:spacing w:line="600" w:lineRule="exact"/>
        <w:ind w:firstLine="680" w:firstLineChars="200"/>
        <w:rPr>
          <w:rFonts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2020年2月，</w:t>
      </w:r>
      <w:r>
        <w:rPr>
          <w:rFonts w:hint="eastAsia" w:ascii="仿宋_GB2312" w:hAnsi="仿宋_GB2312" w:eastAsia="仿宋_GB2312" w:cs="仿宋_GB2312"/>
          <w:bCs/>
          <w:color w:val="000000"/>
          <w:sz w:val="32"/>
          <w:szCs w:val="32"/>
        </w:rPr>
        <w:t>我院</w:t>
      </w:r>
      <w:r>
        <w:rPr>
          <w:rFonts w:hint="eastAsia" w:ascii="仿宋_GB2312" w:hAnsi="仿宋_GB2312" w:eastAsia="仿宋_GB2312" w:cs="仿宋_GB2312"/>
          <w:bCs/>
          <w:color w:val="000000"/>
          <w:sz w:val="34"/>
          <w:szCs w:val="34"/>
        </w:rPr>
        <w:t>诉讼案件平均审理天数均值为46.1天，相对较长，应尽量缩短时间。</w:t>
      </w:r>
    </w:p>
    <w:p>
      <w:pPr>
        <w:spacing w:line="600" w:lineRule="exact"/>
        <w:ind w:firstLine="680" w:firstLineChars="200"/>
        <w:rPr>
          <w:rFonts w:ascii="仿宋_GB2312" w:hAnsi="仿宋_GB2312" w:eastAsia="仿宋_GB2312" w:cs="仿宋_GB2312"/>
          <w:bCs/>
          <w:color w:val="000000"/>
          <w:sz w:val="34"/>
          <w:szCs w:val="34"/>
        </w:rPr>
      </w:pPr>
    </w:p>
    <w:tbl>
      <w:tblPr>
        <w:tblStyle w:val="8"/>
        <w:tblW w:w="6935" w:type="dxa"/>
        <w:tblInd w:w="970" w:type="dxa"/>
        <w:tblLayout w:type="fixed"/>
        <w:tblCellMar>
          <w:top w:w="0" w:type="dxa"/>
          <w:left w:w="108" w:type="dxa"/>
          <w:bottom w:w="0" w:type="dxa"/>
          <w:right w:w="108" w:type="dxa"/>
        </w:tblCellMar>
      </w:tblPr>
      <w:tblGrid>
        <w:gridCol w:w="1154"/>
        <w:gridCol w:w="1953"/>
        <w:gridCol w:w="3828"/>
      </w:tblGrid>
      <w:tr>
        <w:tblPrEx>
          <w:tblLayout w:type="fixed"/>
          <w:tblCellMar>
            <w:top w:w="0" w:type="dxa"/>
            <w:left w:w="108" w:type="dxa"/>
            <w:bottom w:w="0" w:type="dxa"/>
            <w:right w:w="108" w:type="dxa"/>
          </w:tblCellMar>
        </w:tblPrEx>
        <w:trPr>
          <w:trHeight w:val="854" w:hRule="atLeast"/>
        </w:trPr>
        <w:tc>
          <w:tcPr>
            <w:tcW w:w="6935" w:type="dxa"/>
            <w:gridSpan w:val="3"/>
            <w:tcBorders>
              <w:top w:val="nil"/>
              <w:left w:val="nil"/>
              <w:bottom w:val="nil"/>
              <w:right w:val="nil"/>
            </w:tcBorders>
            <w:shd w:val="clear" w:color="auto" w:fill="auto"/>
            <w:vAlign w:val="bottom"/>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扶余市法院1-2月诉讼类员额法官平均审理天数统计表</w:t>
            </w:r>
          </w:p>
        </w:tc>
      </w:tr>
      <w:tr>
        <w:tblPrEx>
          <w:tblLayout w:type="fixed"/>
          <w:tblCellMar>
            <w:top w:w="0" w:type="dxa"/>
            <w:left w:w="108" w:type="dxa"/>
            <w:bottom w:w="0" w:type="dxa"/>
            <w:right w:w="108" w:type="dxa"/>
          </w:tblCellMar>
        </w:tblPrEx>
        <w:trPr>
          <w:trHeight w:val="351" w:hRule="atLeast"/>
        </w:trPr>
        <w:tc>
          <w:tcPr>
            <w:tcW w:w="6935" w:type="dxa"/>
            <w:gridSpan w:val="3"/>
            <w:tcBorders>
              <w:top w:val="nil"/>
              <w:left w:val="nil"/>
              <w:bottom w:val="single" w:color="auto" w:sz="4" w:space="0"/>
              <w:right w:val="nil"/>
            </w:tcBorders>
            <w:shd w:val="clear" w:color="auto" w:fill="auto"/>
            <w:vAlign w:val="bottom"/>
          </w:tcPr>
          <w:p>
            <w:pPr>
              <w:widowControl/>
              <w:jc w:val="center"/>
              <w:rPr>
                <w:rFonts w:ascii="宋体" w:hAnsi="宋体" w:eastAsia="宋体" w:cs="Arial"/>
                <w:kern w:val="0"/>
                <w:sz w:val="16"/>
                <w:szCs w:val="16"/>
              </w:rPr>
            </w:pPr>
            <w:r>
              <w:rPr>
                <w:rFonts w:hint="eastAsia" w:ascii="宋体" w:hAnsi="宋体" w:eastAsia="宋体" w:cs="Arial"/>
                <w:kern w:val="0"/>
                <w:sz w:val="16"/>
                <w:szCs w:val="16"/>
              </w:rPr>
              <w:t>统计区间：2020年1月1日-2月29日                         制表单位：审管办</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序号</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人员</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平均审理天数</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魏红尘</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郭文吉</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14.2</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李春雨</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王成芳</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18.67</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吕相峰</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20.1</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郭焕海</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24.6</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朱国君</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25</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徐冬颖</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27.1</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9</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卢  欣</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32.8</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10</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张丹丹</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34.9</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吕秀贤</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36</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12</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刘士权</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42.2</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13</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于洪涛</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43.4</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曹  杨</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43.7</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王轶男</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45.9</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房立坤</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46.4</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宋家君</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48.1</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18</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刘虹玫</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50.1</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19</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徐志军</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53.8</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20</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孙艳娟</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56.8</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21</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杨雪娇</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57.3</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22</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刘巨龙</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65.4</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苗得志</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77.6</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程彦彬</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99.2</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25</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乔文彬</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121.1</w:t>
            </w:r>
          </w:p>
        </w:tc>
      </w:tr>
      <w:tr>
        <w:tblPrEx>
          <w:tblLayout w:type="fixed"/>
          <w:tblCellMar>
            <w:top w:w="0" w:type="dxa"/>
            <w:left w:w="108" w:type="dxa"/>
            <w:bottom w:w="0" w:type="dxa"/>
            <w:right w:w="108" w:type="dxa"/>
          </w:tblCellMar>
        </w:tblPrEx>
        <w:trPr>
          <w:trHeight w:val="351" w:hRule="atLeast"/>
        </w:trPr>
        <w:tc>
          <w:tcPr>
            <w:tcW w:w="115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26</w:t>
            </w:r>
          </w:p>
        </w:tc>
        <w:tc>
          <w:tcPr>
            <w:tcW w:w="195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  欣</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127</w:t>
            </w:r>
          </w:p>
        </w:tc>
      </w:tr>
      <w:tr>
        <w:tblPrEx>
          <w:tblLayout w:type="fixed"/>
          <w:tblCellMar>
            <w:top w:w="0" w:type="dxa"/>
            <w:left w:w="108" w:type="dxa"/>
            <w:bottom w:w="0" w:type="dxa"/>
            <w:right w:w="108" w:type="dxa"/>
          </w:tblCellMar>
        </w:tblPrEx>
        <w:trPr>
          <w:trHeight w:val="351" w:hRule="atLeast"/>
        </w:trPr>
        <w:tc>
          <w:tcPr>
            <w:tcW w:w="310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总  计</w:t>
            </w:r>
          </w:p>
        </w:tc>
        <w:tc>
          <w:tcPr>
            <w:tcW w:w="3828"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46.1</w:t>
            </w:r>
          </w:p>
        </w:tc>
      </w:tr>
    </w:tbl>
    <w:p>
      <w:pPr>
        <w:spacing w:line="360" w:lineRule="auto"/>
        <w:ind w:firstLine="630" w:firstLineChars="196"/>
        <w:rPr>
          <w:rFonts w:ascii="仿宋_GB2312" w:hAnsi="Calibri" w:eastAsia="仿宋_GB2312" w:cs="Times New Roman"/>
          <w:sz w:val="32"/>
          <w:szCs w:val="32"/>
        </w:rPr>
      </w:pPr>
      <w:r>
        <w:rPr>
          <w:rFonts w:hint="eastAsia" w:ascii="仿宋_GB2312" w:hAnsi="仿宋" w:eastAsia="仿宋_GB2312" w:cs="Times New Roman"/>
          <w:b/>
          <w:sz w:val="32"/>
          <w:szCs w:val="32"/>
        </w:rPr>
        <w:t>4.长期未结诉讼案件清理情况。</w:t>
      </w:r>
    </w:p>
    <w:p>
      <w:pPr>
        <w:spacing w:line="360" w:lineRule="auto"/>
        <w:rPr>
          <w:rFonts w:ascii="仿宋_GB2312" w:hAnsi="Calibri" w:eastAsia="仿宋_GB2312" w:cs="Times New Roman"/>
          <w:sz w:val="32"/>
          <w:szCs w:val="32"/>
        </w:rPr>
      </w:pPr>
    </w:p>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szCs w:val="24"/>
        </w:rPr>
        <w:t>2020年2月扶余法院长期未结诉讼案件统计表</w:t>
      </w:r>
    </w:p>
    <w:tbl>
      <w:tblPr>
        <w:tblStyle w:val="9"/>
        <w:tblW w:w="8505"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1843"/>
        <w:gridCol w:w="2693"/>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庭室</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一年以内</w:t>
            </w:r>
          </w:p>
        </w:tc>
        <w:tc>
          <w:tcPr>
            <w:tcW w:w="269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一年以上2年以下</w:t>
            </w:r>
          </w:p>
        </w:tc>
        <w:tc>
          <w:tcPr>
            <w:tcW w:w="2126"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2年以上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院领导</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5</w:t>
            </w:r>
          </w:p>
        </w:tc>
        <w:tc>
          <w:tcPr>
            <w:tcW w:w="2693" w:type="dxa"/>
          </w:tcPr>
          <w:p>
            <w:pPr>
              <w:jc w:val="center"/>
            </w:pPr>
            <w:r>
              <w:rPr>
                <w:rFonts w:hint="eastAsia" w:ascii="华文中宋" w:hAnsi="华文中宋" w:eastAsia="华文中宋" w:cs="华文中宋"/>
                <w:bCs/>
                <w:color w:val="000000"/>
                <w:sz w:val="24"/>
              </w:rPr>
              <w:t>2</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审管办</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693" w:type="dxa"/>
          </w:tcPr>
          <w:p>
            <w:pPr>
              <w:jc w:val="cente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立案庭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693" w:type="dxa"/>
          </w:tcPr>
          <w:p>
            <w:pPr>
              <w:jc w:val="cente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刑事庭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7</w:t>
            </w:r>
          </w:p>
        </w:tc>
        <w:tc>
          <w:tcPr>
            <w:tcW w:w="269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民事庭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13</w:t>
            </w:r>
          </w:p>
        </w:tc>
        <w:tc>
          <w:tcPr>
            <w:tcW w:w="269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3</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行政庭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4</w:t>
            </w:r>
          </w:p>
        </w:tc>
        <w:tc>
          <w:tcPr>
            <w:tcW w:w="2693" w:type="dxa"/>
          </w:tcPr>
          <w:p>
            <w:pPr>
              <w:jc w:val="center"/>
            </w:pPr>
            <w:r>
              <w:rPr>
                <w:rFonts w:hint="eastAsia" w:ascii="华文中宋" w:hAnsi="华文中宋" w:eastAsia="华文中宋" w:cs="华文中宋"/>
                <w:bCs/>
                <w:color w:val="000000"/>
                <w:sz w:val="24"/>
              </w:rPr>
              <w:t>2</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三岔河法庭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693" w:type="dxa"/>
          </w:tcPr>
          <w:p>
            <w:pPr>
              <w:jc w:val="cente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三井子法庭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3</w:t>
            </w:r>
          </w:p>
        </w:tc>
        <w:tc>
          <w:tcPr>
            <w:tcW w:w="2693" w:type="dxa"/>
          </w:tcPr>
          <w:p>
            <w:pPr>
              <w:jc w:val="cente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长春岭法庭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693" w:type="dxa"/>
          </w:tcPr>
          <w:p>
            <w:pPr>
              <w:jc w:val="center"/>
            </w:pPr>
            <w:r>
              <w:rPr>
                <w:rFonts w:hint="eastAsia" w:ascii="华文中宋" w:hAnsi="华文中宋" w:eastAsia="华文中宋" w:cs="华文中宋"/>
                <w:bCs/>
                <w:color w:val="000000"/>
                <w:sz w:val="24"/>
              </w:rPr>
              <w:t>1</w:t>
            </w:r>
          </w:p>
        </w:tc>
        <w:tc>
          <w:tcPr>
            <w:tcW w:w="2126" w:type="dxa"/>
          </w:tcPr>
          <w:p>
            <w:pPr>
              <w:jc w:val="center"/>
            </w:pPr>
            <w:r>
              <w:rPr>
                <w:rFonts w:hint="eastAsia" w:ascii="华文中宋" w:hAnsi="华文中宋" w:eastAsia="华文中宋" w:cs="华文中宋"/>
                <w:bCs/>
                <w:color w:val="000000"/>
                <w:sz w:val="24"/>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五家站法庭</w:t>
            </w:r>
          </w:p>
        </w:tc>
        <w:tc>
          <w:tcPr>
            <w:tcW w:w="1843" w:type="dxa"/>
          </w:tcPr>
          <w:p>
            <w:pPr>
              <w:jc w:val="center"/>
              <w:rPr>
                <w:rFonts w:ascii="华文中宋" w:hAnsi="华文中宋" w:eastAsia="华文中宋" w:cs="华文中宋"/>
                <w:bCs/>
                <w:color w:val="000000"/>
                <w:sz w:val="24"/>
              </w:rPr>
            </w:pPr>
            <w:r>
              <w:rPr>
                <w:rFonts w:hint="eastAsia" w:ascii="华文中宋" w:hAnsi="华文中宋" w:eastAsia="华文中宋" w:cs="华文中宋"/>
                <w:bCs/>
                <w:color w:val="000000"/>
                <w:sz w:val="24"/>
              </w:rPr>
              <w:t>0</w:t>
            </w:r>
          </w:p>
        </w:tc>
        <w:tc>
          <w:tcPr>
            <w:tcW w:w="2693" w:type="dxa"/>
          </w:tcPr>
          <w:p>
            <w:pPr>
              <w:jc w:val="center"/>
            </w:pPr>
            <w:r>
              <w:rPr>
                <w:rFonts w:hint="eastAsia" w:ascii="华文中宋" w:hAnsi="华文中宋" w:eastAsia="华文中宋" w:cs="华文中宋"/>
                <w:bCs/>
                <w:color w:val="000000"/>
                <w:sz w:val="24"/>
              </w:rPr>
              <w:t>0</w:t>
            </w:r>
          </w:p>
        </w:tc>
        <w:tc>
          <w:tcPr>
            <w:tcW w:w="2126" w:type="dxa"/>
          </w:tcPr>
          <w:p>
            <w:pPr>
              <w:jc w:val="center"/>
            </w:pPr>
            <w:r>
              <w:rPr>
                <w:rFonts w:hint="eastAsia" w:ascii="华文中宋" w:hAnsi="华文中宋" w:eastAsia="华文中宋" w:cs="华文中宋"/>
                <w:bCs/>
                <w:color w:val="000000"/>
                <w:sz w:val="24"/>
              </w:rPr>
              <w:t>0</w:t>
            </w:r>
          </w:p>
        </w:tc>
      </w:tr>
    </w:tbl>
    <w:p>
      <w:pPr>
        <w:rPr>
          <w:rFonts w:ascii="仿宋_GB2312" w:hAnsi="仿宋_GB2312" w:eastAsia="仿宋_GB2312" w:cs="仿宋_GB2312"/>
          <w:bCs/>
          <w:color w:val="000000"/>
          <w:sz w:val="32"/>
          <w:szCs w:val="32"/>
        </w:rPr>
      </w:pPr>
      <w:r>
        <w:rPr>
          <w:rFonts w:hint="eastAsia" w:ascii="华文中宋" w:hAnsi="华文中宋" w:eastAsia="华文中宋" w:cs="华文中宋"/>
          <w:bCs/>
          <w:color w:val="000000"/>
          <w:sz w:val="24"/>
        </w:rPr>
        <w:t xml:space="preserve">   </w:t>
      </w:r>
      <w:r>
        <w:rPr>
          <w:rFonts w:hint="eastAsia" w:ascii="仿宋_GB2312" w:hAnsi="仿宋_GB2312" w:eastAsia="仿宋_GB2312" w:cs="仿宋_GB2312"/>
          <w:bCs/>
          <w:color w:val="000000"/>
          <w:sz w:val="32"/>
          <w:szCs w:val="32"/>
        </w:rPr>
        <w:t xml:space="preserve">  2020年2月，我院长期未结诉讼案件（立案1年以上未结）总计40件，具体为：</w:t>
      </w:r>
    </w:p>
    <w:p>
      <w:pPr>
        <w:pStyle w:val="12"/>
        <w:numPr>
          <w:ilvl w:val="0"/>
          <w:numId w:val="1"/>
        </w:numPr>
        <w:ind w:firstLineChars="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超期1年以内的32件。</w:t>
      </w:r>
    </w:p>
    <w:p>
      <w:pPr>
        <w:pStyle w:val="12"/>
        <w:numPr>
          <w:ilvl w:val="0"/>
          <w:numId w:val="1"/>
        </w:numPr>
        <w:ind w:firstLineChars="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超期1年以上2年以下的8件。</w:t>
      </w:r>
    </w:p>
    <w:p>
      <w:pPr>
        <w:pStyle w:val="12"/>
        <w:numPr>
          <w:ilvl w:val="0"/>
          <w:numId w:val="1"/>
        </w:numPr>
        <w:ind w:firstLineChars="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超期2年以上的0件。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从全市受案总量上看，长期未结案件占比不高，没有超过考核指标值（超1至2年的不超过2%，超2年的不应超过0.1%），但仍需加大化解力度。</w:t>
      </w:r>
    </w:p>
    <w:p>
      <w:pPr>
        <w:spacing w:line="360" w:lineRule="auto"/>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5.人均收结案情况</w:t>
      </w:r>
    </w:p>
    <w:p>
      <w:pPr>
        <w:spacing w:line="360" w:lineRule="auto"/>
        <w:ind w:firstLine="658"/>
        <w:rPr>
          <w:rFonts w:ascii="仿宋_GB2312" w:hAnsi="黑体" w:eastAsia="仿宋_GB2312" w:cs="Times New Roman"/>
          <w:sz w:val="22"/>
        </w:rPr>
      </w:pPr>
    </w:p>
    <w:p>
      <w:pPr>
        <w:jc w:val="center"/>
        <w:rPr>
          <w:rFonts w:ascii="华文中宋" w:hAnsi="华文中宋" w:eastAsia="华文中宋" w:cs="华文中宋"/>
          <w:bCs/>
          <w:color w:val="000000"/>
          <w:sz w:val="32"/>
          <w:szCs w:val="24"/>
        </w:rPr>
      </w:pPr>
      <w:r>
        <w:rPr>
          <w:rFonts w:hint="eastAsia" w:ascii="华文中宋" w:hAnsi="华文中宋" w:eastAsia="华文中宋" w:cs="华文中宋"/>
          <w:bCs/>
          <w:color w:val="000000"/>
          <w:sz w:val="32"/>
          <w:szCs w:val="24"/>
        </w:rPr>
        <w:t>2020年1-2月扶余法院人均收结案统计表</w:t>
      </w:r>
    </w:p>
    <w:p>
      <w:pPr>
        <w:jc w:val="center"/>
        <w:rPr>
          <w:rFonts w:ascii="华文中宋" w:hAnsi="华文中宋" w:eastAsia="华文中宋" w:cs="华文中宋"/>
          <w:bCs/>
          <w:color w:val="000000"/>
          <w:sz w:val="32"/>
        </w:rPr>
      </w:pPr>
    </w:p>
    <w:tbl>
      <w:tblPr>
        <w:tblStyle w:val="9"/>
        <w:tblW w:w="7655"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5"/>
        <w:gridCol w:w="2456"/>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庭室</w:t>
            </w:r>
          </w:p>
        </w:tc>
        <w:tc>
          <w:tcPr>
            <w:tcW w:w="2456"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人均受案</w:t>
            </w:r>
          </w:p>
        </w:tc>
        <w:tc>
          <w:tcPr>
            <w:tcW w:w="2694" w:type="dxa"/>
          </w:tcPr>
          <w:p>
            <w:pPr>
              <w:jc w:val="center"/>
              <w:rPr>
                <w:rFonts w:ascii="华文仿宋" w:hAnsi="华文仿宋" w:eastAsia="华文仿宋" w:cs="华文中宋"/>
                <w:b/>
                <w:bCs/>
                <w:color w:val="000000"/>
                <w:sz w:val="28"/>
                <w:szCs w:val="28"/>
              </w:rPr>
            </w:pPr>
            <w:r>
              <w:rPr>
                <w:rFonts w:hint="eastAsia" w:ascii="华文仿宋" w:hAnsi="华文仿宋" w:eastAsia="华文仿宋" w:cs="华文中宋"/>
                <w:b/>
                <w:bCs/>
                <w:color w:val="000000"/>
                <w:sz w:val="28"/>
                <w:szCs w:val="28"/>
              </w:rPr>
              <w:t>人均结案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院领导</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18.5</w:t>
            </w:r>
          </w:p>
        </w:tc>
        <w:tc>
          <w:tcPr>
            <w:tcW w:w="2694"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0.67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立案庭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3.33</w:t>
            </w:r>
          </w:p>
        </w:tc>
        <w:tc>
          <w:tcPr>
            <w:tcW w:w="2694"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2.67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刑事庭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30.33</w:t>
            </w:r>
          </w:p>
        </w:tc>
        <w:tc>
          <w:tcPr>
            <w:tcW w:w="2694"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民事庭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57.13</w:t>
            </w:r>
          </w:p>
        </w:tc>
        <w:tc>
          <w:tcPr>
            <w:tcW w:w="2694"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25.88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行政庭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27.67</w:t>
            </w:r>
          </w:p>
        </w:tc>
        <w:tc>
          <w:tcPr>
            <w:tcW w:w="2694" w:type="dxa"/>
          </w:tcPr>
          <w:p>
            <w:pPr>
              <w:jc w:val="center"/>
              <w:rPr>
                <w:rFonts w:ascii="华文仿宋" w:hAnsi="华文仿宋" w:eastAsia="华文仿宋"/>
                <w:sz w:val="28"/>
                <w:szCs w:val="28"/>
              </w:rPr>
            </w:pPr>
            <w:r>
              <w:rPr>
                <w:rFonts w:hint="eastAsia" w:ascii="华文仿宋" w:hAnsi="华文仿宋" w:eastAsia="华文仿宋" w:cs="华文中宋"/>
                <w:bCs/>
                <w:color w:val="000000"/>
                <w:sz w:val="28"/>
                <w:szCs w:val="28"/>
              </w:rPr>
              <w:t>5.67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三岔河法庭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47</w:t>
            </w:r>
          </w:p>
        </w:tc>
        <w:tc>
          <w:tcPr>
            <w:tcW w:w="2694" w:type="dxa"/>
          </w:tcPr>
          <w:p>
            <w:pPr>
              <w:jc w:val="center"/>
              <w:rPr>
                <w:rFonts w:ascii="华文仿宋" w:hAnsi="华文仿宋" w:eastAsia="华文仿宋"/>
                <w:sz w:val="28"/>
                <w:szCs w:val="28"/>
              </w:rPr>
            </w:pPr>
            <w:r>
              <w:rPr>
                <w:rFonts w:hint="eastAsia" w:ascii="华文仿宋" w:hAnsi="华文仿宋" w:eastAsia="华文仿宋" w:cs="华文中宋"/>
                <w:bCs/>
                <w:color w:val="000000"/>
                <w:sz w:val="28"/>
                <w:szCs w:val="28"/>
              </w:rPr>
              <w:t>11.5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三井子法庭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14</w:t>
            </w:r>
          </w:p>
        </w:tc>
        <w:tc>
          <w:tcPr>
            <w:tcW w:w="2694" w:type="dxa"/>
          </w:tcPr>
          <w:p>
            <w:pPr>
              <w:jc w:val="center"/>
              <w:rPr>
                <w:rFonts w:ascii="华文仿宋" w:hAnsi="华文仿宋" w:eastAsia="华文仿宋"/>
                <w:sz w:val="28"/>
                <w:szCs w:val="28"/>
              </w:rPr>
            </w:pPr>
            <w:r>
              <w:rPr>
                <w:rFonts w:hint="eastAsia" w:ascii="华文仿宋" w:hAnsi="华文仿宋" w:eastAsia="华文仿宋" w:cs="华文中宋"/>
                <w:bCs/>
                <w:color w:val="000000"/>
                <w:sz w:val="28"/>
                <w:szCs w:val="2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长春岭法庭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60</w:t>
            </w:r>
          </w:p>
        </w:tc>
        <w:tc>
          <w:tcPr>
            <w:tcW w:w="2694" w:type="dxa"/>
          </w:tcPr>
          <w:p>
            <w:pPr>
              <w:jc w:val="center"/>
              <w:rPr>
                <w:rFonts w:ascii="华文仿宋" w:hAnsi="华文仿宋" w:eastAsia="华文仿宋"/>
                <w:sz w:val="28"/>
                <w:szCs w:val="28"/>
              </w:rPr>
            </w:pPr>
            <w:r>
              <w:rPr>
                <w:rFonts w:hint="eastAsia" w:ascii="华文仿宋" w:hAnsi="华文仿宋" w:eastAsia="华文仿宋" w:cs="华文中宋"/>
                <w:bCs/>
                <w:color w:val="000000"/>
                <w:sz w:val="28"/>
                <w:szCs w:val="28"/>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5"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五家站法庭</w:t>
            </w:r>
          </w:p>
        </w:tc>
        <w:tc>
          <w:tcPr>
            <w:tcW w:w="2456" w:type="dxa"/>
          </w:tcPr>
          <w:p>
            <w:pPr>
              <w:jc w:val="center"/>
              <w:rPr>
                <w:rFonts w:ascii="华文仿宋" w:hAnsi="华文仿宋" w:eastAsia="华文仿宋" w:cs="华文中宋"/>
                <w:bCs/>
                <w:color w:val="000000"/>
                <w:sz w:val="28"/>
                <w:szCs w:val="28"/>
              </w:rPr>
            </w:pPr>
            <w:r>
              <w:rPr>
                <w:rFonts w:hint="eastAsia" w:ascii="华文仿宋" w:hAnsi="华文仿宋" w:eastAsia="华文仿宋" w:cs="华文中宋"/>
                <w:bCs/>
                <w:color w:val="000000"/>
                <w:sz w:val="28"/>
                <w:szCs w:val="28"/>
              </w:rPr>
              <w:t>61</w:t>
            </w:r>
          </w:p>
        </w:tc>
        <w:tc>
          <w:tcPr>
            <w:tcW w:w="2694" w:type="dxa"/>
          </w:tcPr>
          <w:p>
            <w:pPr>
              <w:jc w:val="center"/>
              <w:rPr>
                <w:rFonts w:ascii="华文仿宋" w:hAnsi="华文仿宋" w:eastAsia="华文仿宋"/>
                <w:sz w:val="28"/>
                <w:szCs w:val="28"/>
              </w:rPr>
            </w:pPr>
            <w:r>
              <w:rPr>
                <w:rFonts w:hint="eastAsia" w:ascii="华文仿宋" w:hAnsi="华文仿宋" w:eastAsia="华文仿宋" w:cs="华文中宋"/>
                <w:bCs/>
                <w:color w:val="000000"/>
                <w:sz w:val="28"/>
                <w:szCs w:val="28"/>
              </w:rPr>
              <w:t>15</w:t>
            </w:r>
          </w:p>
        </w:tc>
      </w:tr>
    </w:tbl>
    <w:p>
      <w:pPr>
        <w:spacing w:line="360" w:lineRule="auto"/>
        <w:rPr>
          <w:rFonts w:ascii="仿宋_GB2312" w:hAnsi="黑体" w:eastAsia="仿宋_GB2312" w:cs="Times New Roman"/>
          <w:sz w:val="28"/>
          <w:szCs w:val="28"/>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rPr>
          <w:rFonts w:ascii="仿宋_GB2312" w:hAnsi="黑体" w:eastAsia="仿宋_GB2312" w:cs="Times New Roman"/>
          <w:sz w:val="32"/>
          <w:szCs w:val="32"/>
        </w:rPr>
      </w:pP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（三）审判质量效果情况</w:t>
      </w:r>
    </w:p>
    <w:p>
      <w:pPr>
        <w:spacing w:line="600" w:lineRule="exact"/>
        <w:ind w:firstLine="630" w:firstLineChars="196"/>
        <w:rPr>
          <w:rFonts w:ascii="仿宋_GB2312" w:hAnsi="仿宋" w:eastAsia="仿宋_GB2312" w:cs="Times New Roman"/>
          <w:sz w:val="34"/>
          <w:szCs w:val="34"/>
        </w:rPr>
      </w:pPr>
      <w:r>
        <w:rPr>
          <w:rFonts w:hint="eastAsia" w:ascii="仿宋_GB2312" w:hAnsi="仿宋" w:eastAsia="仿宋_GB2312" w:cs="Times New Roman"/>
          <w:b/>
          <w:sz w:val="32"/>
          <w:szCs w:val="32"/>
        </w:rPr>
        <w:t>1.一审案件服判息诉情况。</w:t>
      </w:r>
    </w:p>
    <w:p>
      <w:pPr>
        <w:spacing w:line="600" w:lineRule="exact"/>
        <w:ind w:firstLine="627" w:firstLineChars="196"/>
        <w:rPr>
          <w:rFonts w:ascii="仿宋_GB2312" w:hAnsi="仿宋" w:eastAsia="仿宋_GB2312" w:cs="Times New Roman"/>
          <w:sz w:val="32"/>
          <w:szCs w:val="32"/>
        </w:rPr>
      </w:pPr>
      <w:r>
        <w:rPr>
          <w:rFonts w:hint="eastAsia" w:ascii="仿宋_GB2312" w:hAnsi="仿宋_GB2312" w:eastAsia="仿宋_GB2312" w:cs="仿宋_GB2312"/>
          <w:sz w:val="32"/>
          <w:szCs w:val="32"/>
        </w:rPr>
        <w:t>2020年1-2月</w:t>
      </w:r>
      <w:r>
        <w:rPr>
          <w:rFonts w:hint="eastAsia" w:ascii="仿宋_GB2312" w:hAnsi="仿宋" w:eastAsia="仿宋_GB2312" w:cs="Times New Roman"/>
          <w:sz w:val="32"/>
          <w:szCs w:val="32"/>
        </w:rPr>
        <w:t>我院一审案件服判息诉率为95.38%。</w:t>
      </w:r>
    </w:p>
    <w:tbl>
      <w:tblPr>
        <w:tblStyle w:val="8"/>
        <w:tblW w:w="8240" w:type="dxa"/>
        <w:tblInd w:w="419" w:type="dxa"/>
        <w:tblLayout w:type="fixed"/>
        <w:tblCellMar>
          <w:top w:w="0" w:type="dxa"/>
          <w:left w:w="108" w:type="dxa"/>
          <w:bottom w:w="0" w:type="dxa"/>
          <w:right w:w="108" w:type="dxa"/>
        </w:tblCellMar>
      </w:tblPr>
      <w:tblGrid>
        <w:gridCol w:w="711"/>
        <w:gridCol w:w="1141"/>
        <w:gridCol w:w="1555"/>
        <w:gridCol w:w="1455"/>
        <w:gridCol w:w="1422"/>
        <w:gridCol w:w="1956"/>
      </w:tblGrid>
      <w:tr>
        <w:tblPrEx>
          <w:tblLayout w:type="fixed"/>
          <w:tblCellMar>
            <w:top w:w="0" w:type="dxa"/>
            <w:left w:w="108" w:type="dxa"/>
            <w:bottom w:w="0" w:type="dxa"/>
            <w:right w:w="108" w:type="dxa"/>
          </w:tblCellMar>
        </w:tblPrEx>
        <w:trPr>
          <w:trHeight w:val="504" w:hRule="atLeast"/>
        </w:trPr>
        <w:tc>
          <w:tcPr>
            <w:tcW w:w="8240" w:type="dxa"/>
            <w:gridSpan w:val="6"/>
            <w:tcBorders>
              <w:top w:val="nil"/>
              <w:left w:val="nil"/>
              <w:bottom w:val="nil"/>
              <w:right w:val="nil"/>
            </w:tcBorders>
            <w:shd w:val="clear" w:color="auto" w:fill="auto"/>
            <w:vAlign w:val="center"/>
          </w:tcPr>
          <w:p>
            <w:pPr>
              <w:widowControl/>
              <w:jc w:val="center"/>
              <w:rPr>
                <w:rFonts w:ascii="宋体" w:hAnsi="宋体" w:eastAsia="宋体" w:cs="Arial"/>
                <w:b/>
                <w:bCs/>
                <w:kern w:val="0"/>
                <w:sz w:val="28"/>
                <w:szCs w:val="28"/>
              </w:rPr>
            </w:pPr>
            <w:r>
              <w:rPr>
                <w:rFonts w:hint="eastAsia" w:ascii="宋体" w:hAnsi="宋体" w:eastAsia="宋体" w:cs="Arial"/>
                <w:b/>
                <w:bCs/>
                <w:kern w:val="0"/>
                <w:sz w:val="28"/>
                <w:szCs w:val="28"/>
              </w:rPr>
              <w:t>扶余市法院1-2月诉讼类员额法官一审服判息诉率统计表</w:t>
            </w:r>
          </w:p>
        </w:tc>
      </w:tr>
      <w:tr>
        <w:tblPrEx>
          <w:tblLayout w:type="fixed"/>
          <w:tblCellMar>
            <w:top w:w="0" w:type="dxa"/>
            <w:left w:w="108" w:type="dxa"/>
            <w:bottom w:w="0" w:type="dxa"/>
            <w:right w:w="108" w:type="dxa"/>
          </w:tblCellMar>
        </w:tblPrEx>
        <w:trPr>
          <w:trHeight w:val="321" w:hRule="atLeast"/>
        </w:trPr>
        <w:tc>
          <w:tcPr>
            <w:tcW w:w="8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统计日期：2020-01-01到2020-02-29                                       统计部门：审管办</w:t>
            </w:r>
          </w:p>
        </w:tc>
      </w:tr>
      <w:tr>
        <w:tblPrEx>
          <w:tblLayout w:type="fixed"/>
          <w:tblCellMar>
            <w:top w:w="0" w:type="dxa"/>
            <w:left w:w="108" w:type="dxa"/>
            <w:bottom w:w="0" w:type="dxa"/>
            <w:right w:w="108" w:type="dxa"/>
          </w:tblCellMar>
        </w:tblPrEx>
        <w:trPr>
          <w:trHeight w:val="6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序号</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人员</w:t>
            </w:r>
          </w:p>
        </w:tc>
        <w:tc>
          <w:tcPr>
            <w:tcW w:w="15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一审已结</w:t>
            </w:r>
            <w:r>
              <w:rPr>
                <w:rFonts w:hint="eastAsia" w:ascii="宋体" w:hAnsi="宋体" w:eastAsia="宋体" w:cs="Arial"/>
                <w:b/>
                <w:bCs/>
                <w:color w:val="000000"/>
                <w:kern w:val="0"/>
                <w:sz w:val="20"/>
                <w:szCs w:val="20"/>
              </w:rPr>
              <w:br w:type="textWrapping"/>
            </w:r>
            <w:r>
              <w:rPr>
                <w:rFonts w:hint="eastAsia" w:ascii="宋体" w:hAnsi="宋体" w:eastAsia="宋体" w:cs="Arial"/>
                <w:b/>
                <w:bCs/>
                <w:color w:val="000000"/>
                <w:kern w:val="0"/>
                <w:sz w:val="20"/>
                <w:szCs w:val="20"/>
              </w:rPr>
              <w:t>案件数</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上诉</w:t>
            </w:r>
            <w:r>
              <w:rPr>
                <w:rFonts w:hint="eastAsia" w:ascii="宋体" w:hAnsi="宋体" w:eastAsia="宋体" w:cs="Arial"/>
                <w:b/>
                <w:bCs/>
                <w:color w:val="000000"/>
                <w:kern w:val="0"/>
                <w:sz w:val="20"/>
                <w:szCs w:val="20"/>
              </w:rPr>
              <w:br w:type="textWrapping"/>
            </w:r>
            <w:r>
              <w:rPr>
                <w:rFonts w:hint="eastAsia" w:ascii="宋体" w:hAnsi="宋体" w:eastAsia="宋体" w:cs="Arial"/>
                <w:b/>
                <w:bCs/>
                <w:color w:val="000000"/>
                <w:kern w:val="0"/>
                <w:sz w:val="20"/>
                <w:szCs w:val="20"/>
              </w:rPr>
              <w:t>案件数</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抗诉</w:t>
            </w:r>
            <w:r>
              <w:rPr>
                <w:rFonts w:hint="eastAsia" w:ascii="宋体" w:hAnsi="宋体" w:eastAsia="宋体" w:cs="Arial"/>
                <w:b/>
                <w:bCs/>
                <w:color w:val="000000"/>
                <w:kern w:val="0"/>
                <w:sz w:val="20"/>
                <w:szCs w:val="20"/>
              </w:rPr>
              <w:br w:type="textWrapping"/>
            </w:r>
            <w:r>
              <w:rPr>
                <w:rFonts w:hint="eastAsia" w:ascii="宋体" w:hAnsi="宋体" w:eastAsia="宋体" w:cs="Arial"/>
                <w:b/>
                <w:bCs/>
                <w:color w:val="000000"/>
                <w:kern w:val="0"/>
                <w:sz w:val="20"/>
                <w:szCs w:val="20"/>
              </w:rPr>
              <w:t>案件数</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一审服判</w:t>
            </w:r>
            <w:r>
              <w:rPr>
                <w:rFonts w:hint="eastAsia" w:ascii="宋体" w:hAnsi="宋体" w:eastAsia="宋体" w:cs="Arial"/>
                <w:b/>
                <w:bCs/>
                <w:color w:val="000000"/>
                <w:kern w:val="0"/>
                <w:sz w:val="20"/>
                <w:szCs w:val="20"/>
              </w:rPr>
              <w:br w:type="textWrapping"/>
            </w:r>
            <w:r>
              <w:rPr>
                <w:rFonts w:hint="eastAsia" w:ascii="宋体" w:hAnsi="宋体" w:eastAsia="宋体" w:cs="Arial"/>
                <w:b/>
                <w:bCs/>
                <w:color w:val="000000"/>
                <w:kern w:val="0"/>
                <w:sz w:val="20"/>
                <w:szCs w:val="20"/>
              </w:rPr>
              <w:t>息诉率</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李春雨</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朱国君</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  欣</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于洪涛</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卢  欣</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曹  杨</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程彦彬</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吕相峰</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9</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刘巨龙</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10</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吕秀贤</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郭文吉</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12</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王轶男</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13</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张丹丹</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杨雪娇</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王成芳</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徐志军</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宋家君</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100.00%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18</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刘士权</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97.67%</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19</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苗得志</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90.91%</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20</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郭焕海</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87.50%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21</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乔文彬</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87.50%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22</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刘虹玫</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87.50%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徐冬颖</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85.71%</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孙艳娟</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83.33%</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25</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房立坤</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75.00%</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26</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赵景坤</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27</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李玉林</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28</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王安君</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29</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杜亚坤</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r>
      <w:tr>
        <w:tblPrEx>
          <w:tblLayout w:type="fixed"/>
          <w:tblCellMar>
            <w:top w:w="0" w:type="dxa"/>
            <w:left w:w="108" w:type="dxa"/>
            <w:bottom w:w="0" w:type="dxa"/>
            <w:right w:w="108" w:type="dxa"/>
          </w:tblCellMar>
        </w:tblPrEx>
        <w:trPr>
          <w:trHeight w:val="321" w:hRule="atLeast"/>
        </w:trPr>
        <w:tc>
          <w:tcPr>
            <w:tcW w:w="711"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30</w:t>
            </w:r>
          </w:p>
        </w:tc>
        <w:tc>
          <w:tcPr>
            <w:tcW w:w="11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魏红尘</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w:t>
            </w:r>
          </w:p>
        </w:tc>
      </w:tr>
      <w:tr>
        <w:tblPrEx>
          <w:tblLayout w:type="fixed"/>
          <w:tblCellMar>
            <w:top w:w="0" w:type="dxa"/>
            <w:left w:w="108" w:type="dxa"/>
            <w:bottom w:w="0" w:type="dxa"/>
            <w:right w:w="108" w:type="dxa"/>
          </w:tblCellMar>
        </w:tblPrEx>
        <w:trPr>
          <w:trHeight w:val="321" w:hRule="atLeast"/>
        </w:trPr>
        <w:tc>
          <w:tcPr>
            <w:tcW w:w="1852"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总计</w:t>
            </w:r>
          </w:p>
        </w:tc>
        <w:tc>
          <w:tcPr>
            <w:tcW w:w="15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325</w:t>
            </w:r>
          </w:p>
        </w:tc>
        <w:tc>
          <w:tcPr>
            <w:tcW w:w="1455"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15</w:t>
            </w:r>
          </w:p>
        </w:tc>
        <w:tc>
          <w:tcPr>
            <w:tcW w:w="142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0</w:t>
            </w:r>
          </w:p>
        </w:tc>
        <w:tc>
          <w:tcPr>
            <w:tcW w:w="19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4"/>
                <w:szCs w:val="24"/>
              </w:rPr>
            </w:pPr>
            <w:r>
              <w:rPr>
                <w:rFonts w:hint="eastAsia" w:ascii="宋体" w:hAnsi="宋体" w:eastAsia="宋体" w:cs="Arial"/>
                <w:kern w:val="0"/>
                <w:sz w:val="24"/>
                <w:szCs w:val="24"/>
              </w:rPr>
              <w:t>95.38%</w:t>
            </w:r>
          </w:p>
        </w:tc>
      </w:tr>
    </w:tbl>
    <w:p>
      <w:pPr>
        <w:spacing w:line="600" w:lineRule="exact"/>
        <w:ind w:firstLine="643" w:firstLineChars="200"/>
        <w:rPr>
          <w:rFonts w:ascii="仿宋_GB2312" w:hAnsi="黑体" w:eastAsia="仿宋_GB2312" w:cs="Times New Roman"/>
          <w:sz w:val="32"/>
          <w:szCs w:val="32"/>
        </w:rPr>
      </w:pPr>
      <w:r>
        <w:rPr>
          <w:rFonts w:hint="eastAsia" w:ascii="仿宋_GB2312" w:hAnsi="黑体" w:eastAsia="仿宋_GB2312" w:cs="仿宋_GB2312"/>
          <w:b/>
          <w:sz w:val="32"/>
          <w:szCs w:val="32"/>
        </w:rPr>
        <w:t>2</w:t>
      </w:r>
      <w:r>
        <w:rPr>
          <w:rFonts w:hint="eastAsia" w:ascii="仿宋_GB2312" w:hAnsi="黑体" w:eastAsia="仿宋_GB2312" w:cs="Times New Roman"/>
          <w:sz w:val="32"/>
          <w:szCs w:val="32"/>
        </w:rPr>
        <w:t>.</w:t>
      </w:r>
      <w:r>
        <w:rPr>
          <w:rFonts w:hint="eastAsia" w:ascii="仿宋_GB2312" w:hAnsi="黑体" w:eastAsia="仿宋_GB2312" w:cs="Times New Roman"/>
          <w:b/>
          <w:sz w:val="32"/>
          <w:szCs w:val="32"/>
        </w:rPr>
        <w:t>被</w:t>
      </w:r>
      <w:r>
        <w:rPr>
          <w:rFonts w:hint="eastAsia" w:ascii="仿宋_GB2312" w:hAnsi="黑体" w:eastAsia="仿宋_GB2312" w:cs="仿宋_GB2312"/>
          <w:b/>
          <w:sz w:val="32"/>
          <w:szCs w:val="32"/>
        </w:rPr>
        <w:t>改判、发回重审案件情况。</w:t>
      </w:r>
      <w:r>
        <w:rPr>
          <w:rFonts w:hint="eastAsia" w:ascii="仿宋_GB2312" w:hAnsi="仿宋_GB2312" w:eastAsia="仿宋_GB2312" w:cs="仿宋_GB2312"/>
          <w:sz w:val="32"/>
          <w:szCs w:val="32"/>
        </w:rPr>
        <w:t>2020年2月，</w:t>
      </w:r>
      <w:r>
        <w:rPr>
          <w:rFonts w:hint="eastAsia" w:ascii="仿宋_GB2312" w:hAnsi="黑体" w:eastAsia="仿宋_GB2312" w:cs="Times New Roman"/>
          <w:sz w:val="32"/>
          <w:szCs w:val="32"/>
        </w:rPr>
        <w:t>我院一审案件上诉被改判、发回重审率3.08%</w:t>
      </w:r>
      <w:r>
        <w:rPr>
          <w:rFonts w:hint="eastAsia" w:ascii="仿宋_GB2312" w:hAnsi="黑体" w:eastAsia="仿宋_GB2312" w:cs="仿宋_GB2312"/>
          <w:b/>
          <w:sz w:val="32"/>
          <w:szCs w:val="32"/>
        </w:rPr>
        <w:t>。</w:t>
      </w:r>
    </w:p>
    <w:p>
      <w:pPr>
        <w:spacing w:line="600" w:lineRule="exact"/>
        <w:ind w:firstLine="636"/>
        <w:rPr>
          <w:rFonts w:ascii="仿宋_GB2312" w:hAnsi="黑体" w:eastAsia="仿宋_GB2312" w:cs="Times New Roman"/>
          <w:szCs w:val="32"/>
        </w:rPr>
      </w:pPr>
    </w:p>
    <w:tbl>
      <w:tblPr>
        <w:tblStyle w:val="8"/>
        <w:tblW w:w="7950" w:type="dxa"/>
        <w:tblInd w:w="563" w:type="dxa"/>
        <w:tblLayout w:type="fixed"/>
        <w:tblCellMar>
          <w:top w:w="0" w:type="dxa"/>
          <w:left w:w="108" w:type="dxa"/>
          <w:bottom w:w="0" w:type="dxa"/>
          <w:right w:w="108" w:type="dxa"/>
        </w:tblCellMar>
      </w:tblPr>
      <w:tblGrid>
        <w:gridCol w:w="863"/>
        <w:gridCol w:w="1234"/>
        <w:gridCol w:w="1134"/>
        <w:gridCol w:w="1134"/>
        <w:gridCol w:w="1341"/>
        <w:gridCol w:w="2244"/>
      </w:tblGrid>
      <w:tr>
        <w:tblPrEx>
          <w:tblLayout w:type="fixed"/>
          <w:tblCellMar>
            <w:top w:w="0" w:type="dxa"/>
            <w:left w:w="108" w:type="dxa"/>
            <w:bottom w:w="0" w:type="dxa"/>
            <w:right w:w="108" w:type="dxa"/>
          </w:tblCellMar>
        </w:tblPrEx>
        <w:trPr>
          <w:trHeight w:val="636" w:hRule="atLeast"/>
        </w:trPr>
        <w:tc>
          <w:tcPr>
            <w:tcW w:w="7950" w:type="dxa"/>
            <w:gridSpan w:val="6"/>
            <w:tcBorders>
              <w:top w:val="nil"/>
              <w:left w:val="nil"/>
              <w:bottom w:val="nil"/>
              <w:right w:val="nil"/>
            </w:tcBorders>
            <w:shd w:val="clear" w:color="auto" w:fill="auto"/>
            <w:vAlign w:val="center"/>
          </w:tcPr>
          <w:p>
            <w:pPr>
              <w:widowControl/>
              <w:jc w:val="center"/>
              <w:rPr>
                <w:rFonts w:ascii="宋体" w:hAnsi="宋体" w:eastAsia="宋体" w:cs="Arial"/>
                <w:b/>
                <w:bCs/>
                <w:kern w:val="0"/>
                <w:sz w:val="24"/>
                <w:szCs w:val="24"/>
              </w:rPr>
            </w:pPr>
            <w:r>
              <w:rPr>
                <w:rFonts w:hint="eastAsia" w:ascii="宋体" w:hAnsi="宋体" w:eastAsia="宋体" w:cs="Arial"/>
                <w:b/>
                <w:bCs/>
                <w:kern w:val="0"/>
                <w:sz w:val="24"/>
                <w:szCs w:val="24"/>
              </w:rPr>
              <w:t>扶余市法院1-2月诉讼类员额法官一审案件上诉被改判、发回重审率（反向）统计表</w:t>
            </w:r>
          </w:p>
        </w:tc>
      </w:tr>
      <w:tr>
        <w:tblPrEx>
          <w:tblLayout w:type="fixed"/>
          <w:tblCellMar>
            <w:top w:w="0" w:type="dxa"/>
            <w:left w:w="108" w:type="dxa"/>
            <w:bottom w:w="0" w:type="dxa"/>
            <w:right w:w="108" w:type="dxa"/>
          </w:tblCellMar>
        </w:tblPrEx>
        <w:trPr>
          <w:trHeight w:val="264" w:hRule="atLeast"/>
        </w:trPr>
        <w:tc>
          <w:tcPr>
            <w:tcW w:w="795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统计区间：2020年1月1日-2月29日                                  统计部门：审管办</w:t>
            </w:r>
          </w:p>
        </w:tc>
      </w:tr>
      <w:tr>
        <w:tblPrEx>
          <w:tblLayout w:type="fixed"/>
          <w:tblCellMar>
            <w:top w:w="0" w:type="dxa"/>
            <w:left w:w="108" w:type="dxa"/>
            <w:bottom w:w="0" w:type="dxa"/>
            <w:right w:w="108" w:type="dxa"/>
          </w:tblCellMar>
        </w:tblPrEx>
        <w:trPr>
          <w:trHeight w:val="917" w:hRule="atLeast"/>
        </w:trPr>
        <w:tc>
          <w:tcPr>
            <w:tcW w:w="86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序号</w:t>
            </w:r>
          </w:p>
        </w:tc>
        <w:tc>
          <w:tcPr>
            <w:tcW w:w="1234"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人员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一审已结</w:t>
            </w:r>
            <w:r>
              <w:rPr>
                <w:rFonts w:hint="eastAsia" w:ascii="宋体" w:hAnsi="宋体" w:eastAsia="宋体" w:cs="Arial"/>
                <w:b/>
                <w:bCs/>
                <w:color w:val="000000"/>
                <w:kern w:val="0"/>
                <w:sz w:val="20"/>
                <w:szCs w:val="20"/>
              </w:rPr>
              <w:br w:type="textWrapping"/>
            </w:r>
            <w:r>
              <w:rPr>
                <w:rFonts w:hint="eastAsia" w:ascii="宋体" w:hAnsi="宋体" w:eastAsia="宋体" w:cs="Arial"/>
                <w:b/>
                <w:bCs/>
                <w:color w:val="000000"/>
                <w:kern w:val="0"/>
                <w:sz w:val="20"/>
                <w:szCs w:val="20"/>
              </w:rPr>
              <w:t>案件数</w:t>
            </w:r>
          </w:p>
        </w:tc>
        <w:tc>
          <w:tcPr>
            <w:tcW w:w="1134"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被改判</w:t>
            </w:r>
            <w:r>
              <w:rPr>
                <w:rFonts w:hint="eastAsia" w:ascii="宋体" w:hAnsi="宋体" w:eastAsia="宋体" w:cs="Arial"/>
                <w:b/>
                <w:bCs/>
                <w:kern w:val="0"/>
                <w:sz w:val="20"/>
                <w:szCs w:val="20"/>
              </w:rPr>
              <w:br w:type="textWrapping"/>
            </w:r>
            <w:r>
              <w:rPr>
                <w:rFonts w:hint="eastAsia" w:ascii="宋体" w:hAnsi="宋体" w:eastAsia="宋体" w:cs="Arial"/>
                <w:b/>
                <w:bCs/>
                <w:kern w:val="0"/>
                <w:sz w:val="20"/>
                <w:szCs w:val="20"/>
              </w:rPr>
              <w:t>案件数</w:t>
            </w:r>
          </w:p>
        </w:tc>
        <w:tc>
          <w:tcPr>
            <w:tcW w:w="1341"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被发回重审案件数</w:t>
            </w:r>
          </w:p>
        </w:tc>
        <w:tc>
          <w:tcPr>
            <w:tcW w:w="2244"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一审案件上诉被改判、发回重审率（反向）</w:t>
            </w:r>
          </w:p>
        </w:tc>
      </w:tr>
      <w:tr>
        <w:tblPrEx>
          <w:tblLayout w:type="fixed"/>
          <w:tblCellMar>
            <w:top w:w="0" w:type="dxa"/>
            <w:left w:w="108" w:type="dxa"/>
            <w:bottom w:w="0" w:type="dxa"/>
            <w:right w:w="108" w:type="dxa"/>
          </w:tblCellMar>
        </w:tblPrEx>
        <w:trPr>
          <w:trHeight w:val="288" w:hRule="atLeast"/>
        </w:trPr>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卢  欣</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11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刘士权</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张丹丹</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徐志军</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宋家君</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王轶男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苗得志</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房立坤</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乔文彬</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刘虹玫</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杨雪娇</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徐冬颖</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12"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吕秀贤</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12"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郭文吉</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朱国君</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64"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吕相峰</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312"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李春雨</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  欣</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王成芳</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孙艳娟</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97.62%</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曹  杨</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95.83%</w:t>
            </w:r>
          </w:p>
        </w:tc>
      </w:tr>
      <w:tr>
        <w:tblPrEx>
          <w:tblLayout w:type="fixed"/>
          <w:tblCellMar>
            <w:top w:w="0" w:type="dxa"/>
            <w:left w:w="108" w:type="dxa"/>
            <w:bottom w:w="0" w:type="dxa"/>
            <w:right w:w="108" w:type="dxa"/>
          </w:tblCellMar>
        </w:tblPrEx>
        <w:trPr>
          <w:trHeight w:val="264"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于洪涛</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95.65%</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郭焕海</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87.50%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程彦彬</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刘巨龙</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80.00%</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关  雪</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赵景坤</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王安君</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2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李玉林</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杜亚坤</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w:t>
            </w:r>
          </w:p>
        </w:tc>
      </w:tr>
      <w:tr>
        <w:tblPrEx>
          <w:tblLayout w:type="fixed"/>
          <w:tblCellMar>
            <w:top w:w="0" w:type="dxa"/>
            <w:left w:w="108" w:type="dxa"/>
            <w:bottom w:w="0" w:type="dxa"/>
            <w:right w:w="108" w:type="dxa"/>
          </w:tblCellMar>
        </w:tblPrEx>
        <w:trPr>
          <w:trHeight w:val="288" w:hRule="atLeast"/>
        </w:trPr>
        <w:tc>
          <w:tcPr>
            <w:tcW w:w="8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魏红尘</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0</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w:t>
            </w:r>
          </w:p>
        </w:tc>
      </w:tr>
      <w:tr>
        <w:tblPrEx>
          <w:tblLayout w:type="fixed"/>
          <w:tblCellMar>
            <w:top w:w="0" w:type="dxa"/>
            <w:left w:w="108" w:type="dxa"/>
            <w:bottom w:w="0" w:type="dxa"/>
            <w:right w:w="108" w:type="dxa"/>
          </w:tblCellMar>
        </w:tblPrEx>
        <w:trPr>
          <w:trHeight w:val="312" w:hRule="atLeast"/>
        </w:trPr>
        <w:tc>
          <w:tcPr>
            <w:tcW w:w="2097"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Arial" w:hAnsi="Arial" w:eastAsia="宋体" w:cs="Arial"/>
                <w:kern w:val="0"/>
                <w:sz w:val="20"/>
                <w:szCs w:val="20"/>
              </w:rPr>
            </w:pPr>
            <w:r>
              <w:rPr>
                <w:rFonts w:hint="eastAsia" w:ascii="宋体" w:hAnsi="宋体" w:eastAsia="宋体" w:cs="Arial"/>
                <w:kern w:val="0"/>
                <w:sz w:val="20"/>
                <w:szCs w:val="20"/>
              </w:rPr>
              <w:t>总</w:t>
            </w:r>
            <w:r>
              <w:rPr>
                <w:rFonts w:ascii="Arial" w:hAnsi="Arial" w:eastAsia="宋体" w:cs="Arial"/>
                <w:kern w:val="0"/>
                <w:sz w:val="20"/>
                <w:szCs w:val="20"/>
              </w:rPr>
              <w:t xml:space="preserve">  </w:t>
            </w:r>
            <w:r>
              <w:rPr>
                <w:rFonts w:hint="eastAsia" w:ascii="宋体" w:hAnsi="宋体" w:eastAsia="宋体" w:cs="Arial"/>
                <w:kern w:val="0"/>
                <w:sz w:val="20"/>
                <w:szCs w:val="20"/>
              </w:rPr>
              <w:t>计</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34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4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96.92%</w:t>
            </w:r>
          </w:p>
        </w:tc>
      </w:tr>
    </w:tbl>
    <w:p>
      <w:pPr>
        <w:spacing w:line="600" w:lineRule="exact"/>
        <w:ind w:firstLine="630" w:firstLineChars="196"/>
        <w:rPr>
          <w:rFonts w:ascii="仿宋_GB2312" w:hAnsi="黑体" w:eastAsia="仿宋_GB2312" w:cs="Times New Roman"/>
          <w:sz w:val="32"/>
          <w:szCs w:val="32"/>
        </w:rPr>
      </w:pPr>
      <w:r>
        <w:rPr>
          <w:rFonts w:hint="eastAsia" w:ascii="仿宋_GB2312" w:hAnsi="Times New Roman" w:eastAsia="仿宋_GB2312" w:cs="Times New Roman"/>
          <w:b/>
          <w:sz w:val="32"/>
          <w:szCs w:val="32"/>
        </w:rPr>
        <w:t>3.调撤率</w:t>
      </w:r>
      <w:r>
        <w:rPr>
          <w:rFonts w:hint="eastAsia" w:ascii="仿宋_GB2312" w:hAnsi="Times New Roman" w:eastAsia="仿宋_GB2312" w:cs="Times New Roman"/>
          <w:sz w:val="32"/>
          <w:szCs w:val="32"/>
        </w:rPr>
        <w:t>。至</w:t>
      </w:r>
      <w:r>
        <w:rPr>
          <w:rFonts w:hint="eastAsia" w:ascii="仿宋_GB2312" w:hAnsi="仿宋_GB2312" w:eastAsia="仿宋_GB2312" w:cs="仿宋_GB2312"/>
          <w:sz w:val="32"/>
          <w:szCs w:val="32"/>
        </w:rPr>
        <w:t>2020年2月，</w:t>
      </w:r>
      <w:r>
        <w:rPr>
          <w:rFonts w:hint="eastAsia" w:ascii="仿宋_GB2312" w:hAnsi="黑体" w:eastAsia="仿宋_GB2312" w:cs="Times New Roman"/>
          <w:sz w:val="32"/>
          <w:szCs w:val="32"/>
        </w:rPr>
        <w:t>我院调撤案件总计63件（调解24件、撤诉32件、按撤诉处理7件），一审案件调撤率为21.07%。</w:t>
      </w:r>
    </w:p>
    <w:p>
      <w:pPr>
        <w:spacing w:line="360" w:lineRule="auto"/>
        <w:jc w:val="left"/>
        <w:rPr>
          <w:rFonts w:ascii="仿宋_GB2312" w:hAnsi="Times New Roman" w:eastAsia="仿宋_GB2312" w:cs="Times New Roman"/>
          <w:sz w:val="32"/>
          <w:szCs w:val="32"/>
        </w:rPr>
      </w:pPr>
    </w:p>
    <w:tbl>
      <w:tblPr>
        <w:tblStyle w:val="8"/>
        <w:tblW w:w="8511" w:type="dxa"/>
        <w:tblInd w:w="287" w:type="dxa"/>
        <w:tblLayout w:type="fixed"/>
        <w:tblCellMar>
          <w:top w:w="0" w:type="dxa"/>
          <w:left w:w="108" w:type="dxa"/>
          <w:bottom w:w="0" w:type="dxa"/>
          <w:right w:w="108" w:type="dxa"/>
        </w:tblCellMar>
      </w:tblPr>
      <w:tblGrid>
        <w:gridCol w:w="721"/>
        <w:gridCol w:w="1134"/>
        <w:gridCol w:w="1276"/>
        <w:gridCol w:w="1134"/>
        <w:gridCol w:w="1843"/>
        <w:gridCol w:w="1134"/>
        <w:gridCol w:w="1269"/>
      </w:tblGrid>
      <w:tr>
        <w:tblPrEx>
          <w:tblLayout w:type="fixed"/>
          <w:tblCellMar>
            <w:top w:w="0" w:type="dxa"/>
            <w:left w:w="108" w:type="dxa"/>
            <w:bottom w:w="0" w:type="dxa"/>
            <w:right w:w="108" w:type="dxa"/>
          </w:tblCellMar>
        </w:tblPrEx>
        <w:trPr>
          <w:trHeight w:val="936" w:hRule="atLeast"/>
        </w:trPr>
        <w:tc>
          <w:tcPr>
            <w:tcW w:w="8511" w:type="dxa"/>
            <w:gridSpan w:val="7"/>
            <w:tcBorders>
              <w:top w:val="nil"/>
              <w:left w:val="nil"/>
              <w:bottom w:val="nil"/>
              <w:right w:val="nil"/>
            </w:tcBorders>
            <w:shd w:val="clear" w:color="auto" w:fill="auto"/>
            <w:vAlign w:val="center"/>
          </w:tcPr>
          <w:p>
            <w:pPr>
              <w:widowControl/>
              <w:jc w:val="center"/>
              <w:rPr>
                <w:rFonts w:ascii="宋体" w:hAnsi="宋体" w:eastAsia="宋体" w:cs="Arial"/>
                <w:b/>
                <w:bCs/>
                <w:kern w:val="0"/>
                <w:sz w:val="32"/>
                <w:szCs w:val="32"/>
              </w:rPr>
            </w:pPr>
            <w:r>
              <w:rPr>
                <w:rFonts w:hint="eastAsia" w:ascii="宋体" w:hAnsi="宋体" w:eastAsia="宋体" w:cs="Arial"/>
                <w:b/>
                <w:bCs/>
                <w:kern w:val="0"/>
                <w:sz w:val="32"/>
                <w:szCs w:val="32"/>
              </w:rPr>
              <w:t>扶余市法院诉讼类民事员额法官调撤率统计表</w:t>
            </w:r>
          </w:p>
        </w:tc>
      </w:tr>
      <w:tr>
        <w:tblPrEx>
          <w:tblLayout w:type="fixed"/>
          <w:tblCellMar>
            <w:top w:w="0" w:type="dxa"/>
            <w:left w:w="108" w:type="dxa"/>
            <w:bottom w:w="0" w:type="dxa"/>
            <w:right w:w="108" w:type="dxa"/>
          </w:tblCellMar>
        </w:tblPrEx>
        <w:trPr>
          <w:trHeight w:val="360" w:hRule="atLeast"/>
        </w:trPr>
        <w:tc>
          <w:tcPr>
            <w:tcW w:w="851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统计区间：2020年1月1日-2月29日                                                     统计部门：审管办</w:t>
            </w:r>
          </w:p>
        </w:tc>
      </w:tr>
      <w:tr>
        <w:tblPrEx>
          <w:tblLayout w:type="fixed"/>
          <w:tblCellMar>
            <w:top w:w="0" w:type="dxa"/>
            <w:left w:w="108" w:type="dxa"/>
            <w:bottom w:w="0" w:type="dxa"/>
            <w:right w:w="108" w:type="dxa"/>
          </w:tblCellMar>
        </w:tblPrEx>
        <w:trPr>
          <w:trHeight w:val="744" w:hRule="atLeast"/>
        </w:trPr>
        <w:tc>
          <w:tcPr>
            <w:tcW w:w="72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序号</w:t>
            </w:r>
          </w:p>
        </w:tc>
        <w:tc>
          <w:tcPr>
            <w:tcW w:w="1134"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人员</w:t>
            </w:r>
          </w:p>
        </w:tc>
        <w:tc>
          <w:tcPr>
            <w:tcW w:w="1276"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已结</w:t>
            </w:r>
            <w:r>
              <w:rPr>
                <w:rFonts w:hint="eastAsia" w:ascii="宋体" w:hAnsi="宋体" w:eastAsia="宋体" w:cs="Arial"/>
                <w:b/>
                <w:bCs/>
                <w:kern w:val="0"/>
                <w:sz w:val="22"/>
              </w:rPr>
              <w:br w:type="textWrapping"/>
            </w:r>
            <w:r>
              <w:rPr>
                <w:rFonts w:hint="eastAsia" w:ascii="宋体" w:hAnsi="宋体" w:eastAsia="宋体" w:cs="Arial"/>
                <w:b/>
                <w:bCs/>
                <w:kern w:val="0"/>
                <w:sz w:val="22"/>
              </w:rPr>
              <w:t>案件数</w:t>
            </w:r>
          </w:p>
        </w:tc>
        <w:tc>
          <w:tcPr>
            <w:tcW w:w="1134" w:type="dxa"/>
            <w:tcBorders>
              <w:top w:val="nil"/>
              <w:left w:val="nil"/>
              <w:bottom w:val="nil"/>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撤诉</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按撤诉处理</w:t>
            </w:r>
            <w:r>
              <w:rPr>
                <w:rFonts w:hint="eastAsia" w:ascii="宋体" w:hAnsi="宋体" w:eastAsia="宋体" w:cs="Arial"/>
                <w:b/>
                <w:bCs/>
                <w:kern w:val="0"/>
                <w:sz w:val="22"/>
              </w:rPr>
              <w:br w:type="textWrapping"/>
            </w:r>
            <w:r>
              <w:rPr>
                <w:rFonts w:hint="eastAsia" w:ascii="宋体" w:hAnsi="宋体" w:eastAsia="宋体" w:cs="Arial"/>
                <w:b/>
                <w:bCs/>
                <w:kern w:val="0"/>
                <w:sz w:val="22"/>
              </w:rPr>
              <w:t>案件数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调解</w:t>
            </w:r>
          </w:p>
        </w:tc>
        <w:tc>
          <w:tcPr>
            <w:tcW w:w="12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2"/>
              </w:rPr>
            </w:pPr>
            <w:r>
              <w:rPr>
                <w:rFonts w:hint="eastAsia" w:ascii="宋体" w:hAnsi="宋体" w:eastAsia="宋体" w:cs="Arial"/>
                <w:b/>
                <w:bCs/>
                <w:kern w:val="0"/>
                <w:sz w:val="22"/>
              </w:rPr>
              <w:t>调撤率</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郭文吉</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13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100.00%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王成芳</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100.00%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张丹丹</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70.59%</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吕秀贤</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66.67%</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刘虹玫</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62.50%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王轶男</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42.86%</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杨雪娇</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25.00%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卢  欣</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23.53%</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刘士权</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18.60%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苗得志</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18.18%</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宋家君</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13.33%</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孙艳娟</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9.52%</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于洪涛</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8.70%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徐志军</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6.25%</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曹  杨</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4.17%</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乔文彬</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程彦彬</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刘巨龙</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李春雨</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0.00%</w:t>
            </w:r>
          </w:p>
        </w:tc>
      </w:tr>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刘  欣</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0.00%</w:t>
            </w:r>
          </w:p>
        </w:tc>
      </w:tr>
      <w:tr>
        <w:tblPrEx>
          <w:tblLayout w:type="fixed"/>
          <w:tblCellMar>
            <w:top w:w="0" w:type="dxa"/>
            <w:left w:w="108" w:type="dxa"/>
            <w:bottom w:w="0" w:type="dxa"/>
            <w:right w:w="108" w:type="dxa"/>
          </w:tblCellMar>
        </w:tblPrEx>
        <w:trPr>
          <w:trHeight w:val="360" w:hRule="atLeast"/>
        </w:trPr>
        <w:tc>
          <w:tcPr>
            <w:tcW w:w="1855" w:type="dxa"/>
            <w:gridSpan w:val="2"/>
            <w:tcBorders>
              <w:top w:val="single" w:color="auto" w:sz="4" w:space="0"/>
              <w:left w:val="single" w:color="auto" w:sz="4" w:space="0"/>
              <w:bottom w:val="single" w:color="auto" w:sz="4" w:space="0"/>
              <w:right w:val="single" w:color="000000" w:sz="4" w:space="0"/>
            </w:tcBorders>
            <w:shd w:val="clear" w:color="auto" w:fill="auto"/>
          </w:tcPr>
          <w:p>
            <w:pPr>
              <w:widowControl/>
              <w:jc w:val="center"/>
              <w:rPr>
                <w:rFonts w:ascii="宋体" w:hAnsi="宋体" w:eastAsia="宋体" w:cs="Arial"/>
                <w:kern w:val="0"/>
                <w:sz w:val="22"/>
              </w:rPr>
            </w:pPr>
            <w:r>
              <w:rPr>
                <w:rFonts w:hint="eastAsia" w:ascii="宋体" w:hAnsi="宋体" w:eastAsia="宋体" w:cs="Arial"/>
                <w:kern w:val="0"/>
                <w:sz w:val="22"/>
              </w:rPr>
              <w:t>总   计</w:t>
            </w:r>
          </w:p>
        </w:tc>
        <w:tc>
          <w:tcPr>
            <w:tcW w:w="127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299</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32</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12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hint="eastAsia" w:ascii="宋体" w:hAnsi="宋体" w:eastAsia="宋体" w:cs="Arial"/>
                <w:kern w:val="0"/>
                <w:sz w:val="22"/>
              </w:rPr>
              <w:t>21.07%</w:t>
            </w:r>
          </w:p>
        </w:tc>
      </w:tr>
    </w:tbl>
    <w:p>
      <w:pPr>
        <w:spacing w:line="360" w:lineRule="auto"/>
        <w:ind w:firstLine="627" w:firstLineChars="196"/>
        <w:jc w:val="left"/>
        <w:rPr>
          <w:rFonts w:ascii="仿宋_GB2312" w:hAnsi="仿宋" w:eastAsia="仿宋_GB2312" w:cs="Times New Roman"/>
          <w:sz w:val="32"/>
          <w:szCs w:val="32"/>
        </w:rPr>
      </w:pPr>
    </w:p>
    <w:p>
      <w:pPr>
        <w:spacing w:line="360" w:lineRule="auto"/>
        <w:ind w:firstLine="320" w:firstLineChars="100"/>
        <w:jc w:val="left"/>
        <w:rPr>
          <w:rFonts w:ascii="黑体" w:hAnsi="黑体" w:eastAsia="黑体" w:cs="Times New Roman"/>
          <w:bCs/>
          <w:sz w:val="32"/>
          <w:szCs w:val="32"/>
        </w:rPr>
      </w:pPr>
    </w:p>
    <w:p>
      <w:pPr>
        <w:spacing w:line="360" w:lineRule="auto"/>
        <w:ind w:firstLine="320" w:firstLineChars="100"/>
        <w:jc w:val="left"/>
        <w:rPr>
          <w:rFonts w:ascii="黑体" w:hAnsi="黑体" w:eastAsia="黑体" w:cs="Times New Roman"/>
          <w:bCs/>
          <w:sz w:val="32"/>
          <w:szCs w:val="32"/>
        </w:rPr>
      </w:pPr>
    </w:p>
    <w:p>
      <w:pPr>
        <w:spacing w:line="360" w:lineRule="auto"/>
        <w:jc w:val="left"/>
        <w:rPr>
          <w:rFonts w:ascii="黑体" w:hAnsi="黑体" w:eastAsia="黑体" w:cs="Times New Roman"/>
          <w:bCs/>
          <w:sz w:val="32"/>
          <w:szCs w:val="32"/>
        </w:rPr>
      </w:pPr>
    </w:p>
    <w:p>
      <w:pPr>
        <w:spacing w:line="360" w:lineRule="auto"/>
        <w:ind w:firstLine="320" w:firstLineChars="100"/>
        <w:jc w:val="left"/>
        <w:rPr>
          <w:rFonts w:ascii="黑体" w:hAnsi="黑体" w:eastAsia="黑体" w:cs="Times New Roman"/>
          <w:bCs/>
          <w:sz w:val="32"/>
          <w:szCs w:val="32"/>
        </w:rPr>
      </w:pPr>
      <w:r>
        <w:rPr>
          <w:rFonts w:hint="eastAsia" w:ascii="黑体" w:hAnsi="黑体" w:eastAsia="黑体" w:cs="Times New Roman"/>
          <w:bCs/>
          <w:sz w:val="32"/>
          <w:szCs w:val="32"/>
        </w:rPr>
        <w:t>（四）司法公开工作情况</w:t>
      </w:r>
    </w:p>
    <w:p>
      <w:pPr>
        <w:spacing w:line="360" w:lineRule="auto"/>
        <w:ind w:firstLine="630" w:firstLineChars="196"/>
        <w:jc w:val="left"/>
        <w:rPr>
          <w:rFonts w:ascii="仿宋_GB2312" w:hAnsi="楷体" w:eastAsia="仿宋_GB2312" w:cs="Times New Roman"/>
          <w:b/>
          <w:bCs/>
          <w:sz w:val="32"/>
          <w:szCs w:val="32"/>
        </w:rPr>
      </w:pPr>
      <w:r>
        <w:rPr>
          <w:rFonts w:hint="eastAsia" w:ascii="仿宋_GB2312" w:hAnsi="楷体" w:eastAsia="仿宋_GB2312" w:cs="Times New Roman"/>
          <w:b/>
          <w:bCs/>
          <w:sz w:val="32"/>
          <w:szCs w:val="32"/>
        </w:rPr>
        <w:t>1.庭审直播公开情况</w:t>
      </w:r>
    </w:p>
    <w:tbl>
      <w:tblPr>
        <w:tblW w:w="7270" w:type="dxa"/>
        <w:tblInd w:w="2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0"/>
        <w:gridCol w:w="1440"/>
        <w:gridCol w:w="1500"/>
        <w:gridCol w:w="1560"/>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3" w:hRule="atLeast"/>
        </w:trPr>
        <w:tc>
          <w:tcPr>
            <w:tcW w:w="7270"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扶余市法院1-2月诉讼类员额法官直播率统计表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2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统计日期：2020-01-01到2020-02-29                            统计部门：审管办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受理案件数</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直播案件数</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直播率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吕相峰</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刘士权</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乔文彬</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朱国君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孙艳娟</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刘虹玫</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程彦彬</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徐志军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宋家君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张丹丹</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杜亚坤</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王成芳</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  杨</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  欣</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杨雪娇</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郭文吉</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魏红尘</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苗得志</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郭焕海</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房立坤</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徐冬颖</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王轶男</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吕秀贤</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刘巨龙</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欣</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李春雨</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赵景坤</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李玉林</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2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计</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r>
    </w:tbl>
    <w:p>
      <w:pPr>
        <w:pStyle w:val="3"/>
        <w:spacing w:before="94" w:line="360" w:lineRule="auto"/>
        <w:ind w:firstLine="640" w:firstLineChars="200"/>
        <w:jc w:val="both"/>
        <w:rPr>
          <w:rFonts w:ascii="仿宋_GB2312" w:hAnsi="Times New Roman" w:eastAsia="仿宋_GB2312"/>
          <w:kern w:val="2"/>
          <w:sz w:val="32"/>
          <w:szCs w:val="32"/>
          <w:lang w:eastAsia="zh-CN"/>
        </w:rPr>
      </w:pPr>
      <w:r>
        <w:rPr>
          <w:rFonts w:hint="eastAsia" w:ascii="仿宋_GB2312" w:hAnsi="Times New Roman" w:eastAsia="仿宋_GB2312"/>
          <w:kern w:val="2"/>
          <w:sz w:val="32"/>
          <w:szCs w:val="32"/>
          <w:lang w:eastAsia="zh-CN"/>
        </w:rPr>
        <w:t>截止2020年2月29日</w:t>
      </w:r>
      <w:r>
        <w:rPr>
          <w:rFonts w:ascii="仿宋_GB2312" w:hAnsi="Times New Roman" w:eastAsia="仿宋_GB2312"/>
          <w:kern w:val="2"/>
          <w:sz w:val="32"/>
          <w:szCs w:val="32"/>
          <w:lang w:eastAsia="zh-CN"/>
        </w:rPr>
        <w:t>，</w:t>
      </w:r>
      <w:r>
        <w:rPr>
          <w:rFonts w:hint="eastAsia" w:ascii="仿宋_GB2312" w:hAnsi="Times New Roman" w:eastAsia="仿宋_GB2312"/>
          <w:kern w:val="2"/>
          <w:sz w:val="32"/>
          <w:szCs w:val="32"/>
          <w:lang w:eastAsia="zh-CN"/>
        </w:rPr>
        <w:t>我院</w:t>
      </w:r>
      <w:r>
        <w:rPr>
          <w:rFonts w:ascii="仿宋_GB2312" w:hAnsi="Times New Roman" w:eastAsia="仿宋_GB2312"/>
          <w:sz w:val="32"/>
          <w:szCs w:val="32"/>
          <w:lang w:eastAsia="zh-CN"/>
        </w:rPr>
        <w:t>庭审直播案件</w:t>
      </w:r>
      <w:r>
        <w:rPr>
          <w:rFonts w:hint="eastAsia" w:ascii="仿宋_GB2312" w:hAnsi="Times New Roman" w:eastAsia="仿宋_GB2312"/>
          <w:sz w:val="32"/>
          <w:szCs w:val="32"/>
          <w:lang w:eastAsia="zh-CN"/>
        </w:rPr>
        <w:t>总数相对较少，很多法官开庭审理案件未进行庭审直播。直播案件总数仅为40件</w:t>
      </w:r>
      <w:r>
        <w:rPr>
          <w:rFonts w:ascii="仿宋_GB2312" w:hAnsi="Times New Roman" w:eastAsia="仿宋_GB2312"/>
          <w:sz w:val="32"/>
          <w:szCs w:val="32"/>
          <w:lang w:eastAsia="zh-CN"/>
        </w:rPr>
        <w:t>，庭审直播率</w:t>
      </w:r>
      <w:r>
        <w:rPr>
          <w:rFonts w:hint="eastAsia" w:ascii="仿宋_GB2312" w:hAnsi="Times New Roman" w:eastAsia="仿宋_GB2312"/>
          <w:sz w:val="32"/>
          <w:szCs w:val="32"/>
          <w:lang w:eastAsia="zh-CN"/>
        </w:rPr>
        <w:t>为</w:t>
      </w:r>
      <w:r>
        <w:rPr>
          <w:rFonts w:hint="eastAsia" w:ascii="仿宋_GB2312" w:hAnsi="Times New Roman" w:eastAsia="仿宋_GB2312"/>
          <w:sz w:val="32"/>
          <w:szCs w:val="32"/>
          <w:lang w:val="en-US" w:eastAsia="zh-CN"/>
        </w:rPr>
        <w:t>3.72</w:t>
      </w:r>
      <w:r>
        <w:rPr>
          <w:rFonts w:hint="eastAsia" w:ascii="仿宋_GB2312" w:hAnsi="Times New Roman" w:eastAsia="仿宋_GB2312"/>
          <w:sz w:val="32"/>
          <w:szCs w:val="32"/>
          <w:lang w:eastAsia="zh-CN"/>
        </w:rPr>
        <w:t>%，</w:t>
      </w:r>
      <w:r>
        <w:rPr>
          <w:rFonts w:hint="eastAsia" w:ascii="仿宋_GB2312" w:hAnsi="Times New Roman" w:eastAsia="仿宋_GB2312"/>
          <w:kern w:val="2"/>
          <w:sz w:val="32"/>
          <w:szCs w:val="32"/>
          <w:lang w:eastAsia="zh-CN"/>
        </w:rPr>
        <w:t>此项指标，省院要求庭审直播率今年要达到30%得0.5分，能够实现员额法官（不含执行法官）庭审直播全覆盖的加0.5分。各位院领导及员额法官一定要关注此指标，在今年开庭时要开</w:t>
      </w:r>
      <w:bookmarkStart w:id="0" w:name="_GoBack"/>
      <w:bookmarkEnd w:id="0"/>
      <w:r>
        <w:rPr>
          <w:rFonts w:hint="eastAsia" w:ascii="仿宋_GB2312" w:hAnsi="Times New Roman" w:eastAsia="仿宋_GB2312"/>
          <w:kern w:val="2"/>
          <w:sz w:val="32"/>
          <w:szCs w:val="32"/>
          <w:lang w:eastAsia="zh-CN"/>
        </w:rPr>
        <w:t>展直播，并符合条件的能直播尽量都直播。</w:t>
      </w:r>
    </w:p>
    <w:p>
      <w:pPr>
        <w:spacing w:line="360" w:lineRule="auto"/>
        <w:ind w:firstLine="630" w:firstLineChars="196"/>
        <w:jc w:val="left"/>
        <w:rPr>
          <w:rFonts w:ascii="楷体_GB2312" w:hAnsi="楷体" w:eastAsia="楷体_GB2312" w:cs="Times New Roman"/>
          <w:b/>
          <w:bCs/>
          <w:sz w:val="32"/>
          <w:szCs w:val="32"/>
        </w:rPr>
      </w:pPr>
      <w:r>
        <w:rPr>
          <w:rFonts w:hint="eastAsia" w:ascii="楷体_GB2312" w:hAnsi="楷体" w:eastAsia="楷体_GB2312" w:cs="Times New Roman"/>
          <w:b/>
          <w:bCs/>
          <w:sz w:val="32"/>
          <w:szCs w:val="32"/>
        </w:rPr>
        <w:t>2.审判流程信息公开情况</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截至2020年2月我院公开案件审判流程公开网中，无效公开案件210件，其中已结91件，未结119件，为响应省院号召，无效公开案件清理行动，审管办已经组织各业务庭室全面开展，争取早日实现清零。</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另外，今年省院在中国审判流程信息公开网中电子送达率以及诉讼文书笔录公开率的考核指标，设定相比去年要提高，审管办正在院领导的支持下正组织立案庭及各业务庭室进行全面铺开。</w:t>
      </w:r>
    </w:p>
    <w:p>
      <w:pPr>
        <w:spacing w:line="600" w:lineRule="exact"/>
        <w:ind w:firstLine="680" w:firstLineChars="200"/>
        <w:rPr>
          <w:rFonts w:ascii="黑体" w:hAnsi="黑体" w:eastAsia="黑体" w:cs="Times New Roman"/>
          <w:sz w:val="34"/>
          <w:szCs w:val="34"/>
        </w:rPr>
      </w:pPr>
      <w:r>
        <w:rPr>
          <w:rFonts w:hint="eastAsia" w:ascii="黑体" w:hAnsi="黑体" w:eastAsia="黑体" w:cs="Times New Roman"/>
          <w:sz w:val="34"/>
          <w:szCs w:val="34"/>
        </w:rPr>
        <w:t>二、审判工作中存在的问题及审判管理建议</w:t>
      </w:r>
    </w:p>
    <w:p>
      <w:pPr>
        <w:pStyle w:val="12"/>
        <w:numPr>
          <w:ilvl w:val="0"/>
          <w:numId w:val="2"/>
        </w:numPr>
        <w:spacing w:line="360" w:lineRule="auto"/>
        <w:ind w:firstLineChars="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结收比情况</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1-2月份，我院结收比（</w:t>
      </w:r>
      <w:r>
        <w:rPr>
          <w:rFonts w:ascii="仿宋_GB2312" w:eastAsia="仿宋_GB2312" w:hAnsiTheme="majorEastAsia"/>
          <w:sz w:val="32"/>
          <w:szCs w:val="32"/>
        </w:rPr>
        <w:t>43.68%</w:t>
      </w:r>
      <w:r>
        <w:rPr>
          <w:rFonts w:hint="eastAsia" w:ascii="仿宋_GB2312" w:eastAsia="仿宋_GB2312" w:hAnsiTheme="majorEastAsia"/>
          <w:sz w:val="32"/>
          <w:szCs w:val="32"/>
        </w:rPr>
        <w:t>），在全省基层法院中排名第43位，在全市基层法院中排名第5位；这一项数据上显示，我院在全省全市中的排名都靠后。由于新收案件增长较多，而已结案件又相对较少，致使结收比不甚理想。对此，应不断提高我院结案数量，建立通报制度，每周动态对员额法官收结案情况进行通报。并且不定期召开审委会会议，对疑难复杂案件进行集中研讨，督促承办法官尽快结案。</w:t>
      </w:r>
    </w:p>
    <w:p>
      <w:pPr>
        <w:pStyle w:val="12"/>
        <w:numPr>
          <w:ilvl w:val="0"/>
          <w:numId w:val="2"/>
        </w:numPr>
        <w:tabs>
          <w:tab w:val="left" w:pos="8"/>
        </w:tabs>
        <w:ind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一审案件服判息诉情况</w:t>
      </w:r>
    </w:p>
    <w:p>
      <w:pPr>
        <w:spacing w:line="360" w:lineRule="auto"/>
        <w:ind w:firstLine="640" w:firstLineChars="200"/>
        <w:rPr>
          <w:rFonts w:ascii="仿宋_GB2312" w:hAnsi="仿宋_GB2312" w:eastAsia="仿宋_GB2312" w:cs="仿宋_GB2312"/>
          <w:b/>
          <w:color w:val="000000"/>
          <w:sz w:val="32"/>
          <w:szCs w:val="32"/>
        </w:rPr>
      </w:pPr>
      <w:r>
        <w:rPr>
          <w:rFonts w:hint="eastAsia" w:ascii="仿宋_GB2312" w:eastAsia="仿宋_GB2312" w:hAnsiTheme="majorEastAsia"/>
          <w:sz w:val="32"/>
          <w:szCs w:val="32"/>
        </w:rPr>
        <w:t>1-2月份，我院一审案件服判息诉率为99.38%，在全省基层法院中排名第34位，在松原市基层法院中排名第3位，在数据上来看，我院一审案件服判息诉率还有待提高。对此，建议各承办法官，庭后强化判后答疑，把法理、情理、事理谈通谈透，化解当事人心理纠结。同时树立法官的裁判文书精品意识，强化裁判文书辨法析理，切实提高裁判文书的严密逻辑性、可接受性，力争做到让当事人胜败皆服，提升服判息诉率。</w:t>
      </w:r>
    </w:p>
    <w:p>
      <w:pPr>
        <w:pStyle w:val="12"/>
        <w:numPr>
          <w:ilvl w:val="0"/>
          <w:numId w:val="2"/>
        </w:numPr>
        <w:spacing w:line="360" w:lineRule="auto"/>
        <w:ind w:firstLineChars="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调撤率</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1-2月份，我院调撤率为18.6%，在全省基层法院中排名59位，在松原市基层法院中排名第4位，从此项数据上看出，我院在全省中的排名较为落后。对此，我院应创新工作思路，调审无缝对接。对需要立案的当事人，尊重其意愿进行立案，灵活改变调解时间节点。立案后，由法官助理先行与当事人沟通，对案件调解难易度初步分类。对难度不大的案件，法官助理发挥第一层调解作用，难度较高的再联合调解员、法官进行调解，充分发挥法官助理的作用，架起调解和审判有效衔接的桥梁，使案件调解和审理实现无缝衔接，让调撤工作更加有说服力，公信力。</w:t>
      </w:r>
    </w:p>
    <w:p>
      <w:pPr>
        <w:tabs>
          <w:tab w:val="left" w:pos="4045"/>
        </w:tabs>
        <w:spacing w:line="600" w:lineRule="exact"/>
        <w:ind w:firstLine="640" w:firstLineChars="200"/>
        <w:rPr>
          <w:rFonts w:ascii="黑体" w:hAnsi="黑体" w:eastAsia="黑体" w:cs="Times New Roman"/>
          <w:bCs/>
          <w:sz w:val="32"/>
          <w:szCs w:val="32"/>
        </w:rPr>
      </w:pPr>
    </w:p>
    <w:sectPr>
      <w:footerReference r:id="rId11" w:type="first"/>
      <w:footerReference r:id="rId9" w:type="default"/>
      <w:footerReference r:id="rId10" w:type="even"/>
      <w:pgSz w:w="11906" w:h="16838"/>
      <w:pgMar w:top="1361" w:right="1418" w:bottom="1361" w:left="1418"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方正北魏楷书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rPr>
                    <w:rFonts w:hint="eastAsia" w:ascii="仿宋_GB2312" w:hAnsi="仿宋_GB2312" w:eastAsia="仿宋_GB2312" w:cs="仿宋_GB2312"/>
                    <w:sz w:val="28"/>
                    <w:szCs w:val="28"/>
                  </w:rPr>
                  <w:id w:val="13806849"/>
                </w:sdtPr>
                <w:sdtEndPr>
                  <w:rPr>
                    <w:rFonts w:hint="eastAsia" w:ascii="仿宋_GB2312" w:hAnsi="仿宋_GB2312" w:eastAsia="仿宋_GB2312" w:cs="仿宋_GB2312"/>
                    <w:sz w:val="28"/>
                    <w:szCs w:val="28"/>
                  </w:rPr>
                </w:sdtEndPr>
                <w:sdtContent>
                  <w:p>
                    <w:pPr>
                      <w:pStyle w:val="5"/>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 PAGE   \* MERGEFORMAT </w:instrText>
                    </w:r>
                    <w:r>
                      <w:rPr>
                        <w:rFonts w:hint="eastAsia" w:ascii="仿宋_GB2312" w:hAnsi="仿宋_GB2312" w:eastAsia="仿宋_GB2312" w:cs="仿宋_GB2312"/>
                        <w:b/>
                        <w:sz w:val="28"/>
                        <w:szCs w:val="28"/>
                      </w:rPr>
                      <w:fldChar w:fldCharType="separate"/>
                    </w:r>
                    <w:r>
                      <w:rPr>
                        <w:rFonts w:ascii="仿宋_GB2312" w:hAnsi="仿宋_GB2312" w:eastAsia="仿宋_GB2312" w:cs="仿宋_GB2312"/>
                        <w:b/>
                        <w:sz w:val="28"/>
                        <w:szCs w:val="28"/>
                        <w:lang w:val="zh-CN"/>
                      </w:rPr>
                      <w:t>-</w:t>
                    </w:r>
                    <w:r>
                      <w:rPr>
                        <w:rFonts w:ascii="仿宋_GB2312" w:hAnsi="仿宋_GB2312" w:eastAsia="仿宋_GB2312" w:cs="仿宋_GB2312"/>
                        <w:b/>
                        <w:sz w:val="28"/>
                        <w:szCs w:val="28"/>
                      </w:rPr>
                      <w:t xml:space="preserve"> 11 -</w:t>
                    </w:r>
                    <w:r>
                      <w:rPr>
                        <w:rFonts w:hint="eastAsia" w:ascii="仿宋_GB2312" w:hAnsi="仿宋_GB2312" w:eastAsia="仿宋_GB2312" w:cs="仿宋_GB2312"/>
                        <w:b/>
                        <w:sz w:val="28"/>
                        <w:szCs w:val="28"/>
                      </w:rPr>
                      <w:fldChar w:fldCharType="end"/>
                    </w:r>
                  </w:p>
                </w:sdtContent>
              </w:sdt>
              <w:p>
                <w:pPr>
                  <w:rPr>
                    <w:rFonts w:ascii="仿宋_GB2312" w:hAnsi="仿宋_GB2312" w:eastAsia="仿宋_GB2312" w:cs="仿宋_GB2312"/>
                    <w:sz w:val="28"/>
                    <w:szCs w:val="2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  \* MERGEFORMAT </w:instrText>
                </w:r>
                <w:r>
                  <w:rPr>
                    <w:rFonts w:hint="eastAsia" w:ascii="仿宋_GB2312" w:hAnsi="仿宋_GB2312" w:eastAsia="仿宋_GB2312" w:cs="仿宋_GB2312"/>
                    <w:b/>
                    <w:bCs/>
                    <w:sz w:val="28"/>
                    <w:szCs w:val="28"/>
                  </w:rPr>
                  <w:fldChar w:fldCharType="separate"/>
                </w:r>
                <w:r>
                  <w:rPr>
                    <w:rFonts w:ascii="仿宋_GB2312" w:hAnsi="仿宋_GB2312" w:eastAsia="仿宋_GB2312" w:cs="仿宋_GB2312"/>
                    <w:b/>
                    <w:bCs/>
                    <w:sz w:val="28"/>
                    <w:szCs w:val="28"/>
                  </w:rPr>
                  <w:t>- 12 -</w:t>
                </w:r>
                <w:r>
                  <w:rPr>
                    <w:rFonts w:hint="eastAsia" w:ascii="仿宋_GB2312" w:hAnsi="仿宋_GB2312" w:eastAsia="仿宋_GB2312" w:cs="仿宋_GB2312"/>
                    <w:b/>
                    <w:bCs/>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4" o:spid="_x0000_s205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rPr>
                    <w:rFonts w:hint="eastAsia"/>
                  </w:rPr>
                  <w:t>- 0 -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华文新魏" w:eastAsia="华文新魏"/>
        <w:sz w:val="32"/>
      </w:rPr>
      <w:t>扶余法院审判工作月度报告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ascii="华文新魏" w:eastAsia="华文新魏"/>
        <w:sz w:val="32"/>
      </w:rPr>
      <w:t>扶余法院审判运行态势分析报告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87B"/>
    <w:multiLevelType w:val="multilevel"/>
    <w:tmpl w:val="180C487B"/>
    <w:lvl w:ilvl="0" w:tentative="0">
      <w:start w:val="1"/>
      <w:numFmt w:val="decimal"/>
      <w:lvlText w:val="%1."/>
      <w:lvlJc w:val="left"/>
      <w:pPr>
        <w:ind w:left="927" w:hanging="360"/>
      </w:pPr>
      <w:rPr>
        <w:rFonts w:hint="default" w:ascii="楷体_GB2312" w:hAnsi="楷体" w:eastAsia="楷体_GB2312" w:cs="Times New Roman"/>
        <w:b/>
        <w:color w:val="auto"/>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53F92E3C"/>
    <w:multiLevelType w:val="multilevel"/>
    <w:tmpl w:val="53F92E3C"/>
    <w:lvl w:ilvl="0" w:tentative="0">
      <w:start w:val="1"/>
      <w:numFmt w:val="decimalEnclosedParen"/>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7A85"/>
    <w:rsid w:val="00001052"/>
    <w:rsid w:val="0000156A"/>
    <w:rsid w:val="000022BC"/>
    <w:rsid w:val="000052C2"/>
    <w:rsid w:val="0000565A"/>
    <w:rsid w:val="00005CCE"/>
    <w:rsid w:val="00007A26"/>
    <w:rsid w:val="00012327"/>
    <w:rsid w:val="00013379"/>
    <w:rsid w:val="0001360B"/>
    <w:rsid w:val="00027C10"/>
    <w:rsid w:val="00031FB2"/>
    <w:rsid w:val="00034BCE"/>
    <w:rsid w:val="00034FD0"/>
    <w:rsid w:val="0003694C"/>
    <w:rsid w:val="00037ACE"/>
    <w:rsid w:val="000445C2"/>
    <w:rsid w:val="0005422D"/>
    <w:rsid w:val="000545F4"/>
    <w:rsid w:val="0005770B"/>
    <w:rsid w:val="00057C76"/>
    <w:rsid w:val="000604DA"/>
    <w:rsid w:val="0007070C"/>
    <w:rsid w:val="00076649"/>
    <w:rsid w:val="000813D2"/>
    <w:rsid w:val="00081F1B"/>
    <w:rsid w:val="00084842"/>
    <w:rsid w:val="0009213B"/>
    <w:rsid w:val="00092FE4"/>
    <w:rsid w:val="00095AA9"/>
    <w:rsid w:val="00096919"/>
    <w:rsid w:val="000A079F"/>
    <w:rsid w:val="000A6779"/>
    <w:rsid w:val="000B1489"/>
    <w:rsid w:val="000B34E2"/>
    <w:rsid w:val="000B365C"/>
    <w:rsid w:val="000B67D8"/>
    <w:rsid w:val="000B702E"/>
    <w:rsid w:val="000C6258"/>
    <w:rsid w:val="000D2A11"/>
    <w:rsid w:val="000D3ABF"/>
    <w:rsid w:val="000D5B1D"/>
    <w:rsid w:val="000E0AF8"/>
    <w:rsid w:val="000E676A"/>
    <w:rsid w:val="000F3F5E"/>
    <w:rsid w:val="000F76FE"/>
    <w:rsid w:val="00101846"/>
    <w:rsid w:val="0010317F"/>
    <w:rsid w:val="00103635"/>
    <w:rsid w:val="001066A4"/>
    <w:rsid w:val="001134A1"/>
    <w:rsid w:val="001146DB"/>
    <w:rsid w:val="00114A26"/>
    <w:rsid w:val="0011624D"/>
    <w:rsid w:val="00116BFE"/>
    <w:rsid w:val="001206F4"/>
    <w:rsid w:val="00120B43"/>
    <w:rsid w:val="00120CC9"/>
    <w:rsid w:val="00122E38"/>
    <w:rsid w:val="00123B9D"/>
    <w:rsid w:val="00123D88"/>
    <w:rsid w:val="00131384"/>
    <w:rsid w:val="0013677D"/>
    <w:rsid w:val="00136F96"/>
    <w:rsid w:val="00137DAF"/>
    <w:rsid w:val="00140BA8"/>
    <w:rsid w:val="001437CC"/>
    <w:rsid w:val="0014750F"/>
    <w:rsid w:val="0014752C"/>
    <w:rsid w:val="001511B8"/>
    <w:rsid w:val="00151BF5"/>
    <w:rsid w:val="00151FF9"/>
    <w:rsid w:val="00152CF7"/>
    <w:rsid w:val="001539AD"/>
    <w:rsid w:val="00157240"/>
    <w:rsid w:val="00157D77"/>
    <w:rsid w:val="00161EDB"/>
    <w:rsid w:val="001656D5"/>
    <w:rsid w:val="001671BA"/>
    <w:rsid w:val="0017590B"/>
    <w:rsid w:val="00176875"/>
    <w:rsid w:val="001803FC"/>
    <w:rsid w:val="00182FD7"/>
    <w:rsid w:val="0018590E"/>
    <w:rsid w:val="00185B62"/>
    <w:rsid w:val="001865E7"/>
    <w:rsid w:val="001869C0"/>
    <w:rsid w:val="00186F9B"/>
    <w:rsid w:val="001923DC"/>
    <w:rsid w:val="0019356C"/>
    <w:rsid w:val="00193D6C"/>
    <w:rsid w:val="0019570D"/>
    <w:rsid w:val="001A0584"/>
    <w:rsid w:val="001A13C4"/>
    <w:rsid w:val="001A29CA"/>
    <w:rsid w:val="001A59A5"/>
    <w:rsid w:val="001B1F49"/>
    <w:rsid w:val="001B2DD2"/>
    <w:rsid w:val="001B3419"/>
    <w:rsid w:val="001B46D2"/>
    <w:rsid w:val="001B5553"/>
    <w:rsid w:val="001B6751"/>
    <w:rsid w:val="001B6A6F"/>
    <w:rsid w:val="001C0BEF"/>
    <w:rsid w:val="001C276A"/>
    <w:rsid w:val="001C4619"/>
    <w:rsid w:val="001D06CC"/>
    <w:rsid w:val="001D0C4C"/>
    <w:rsid w:val="001D2985"/>
    <w:rsid w:val="001F0F5F"/>
    <w:rsid w:val="001F3EA4"/>
    <w:rsid w:val="001F5E2F"/>
    <w:rsid w:val="001F7E80"/>
    <w:rsid w:val="002015F7"/>
    <w:rsid w:val="002050B2"/>
    <w:rsid w:val="00205E1A"/>
    <w:rsid w:val="00210E40"/>
    <w:rsid w:val="00212E9F"/>
    <w:rsid w:val="00220918"/>
    <w:rsid w:val="00220D18"/>
    <w:rsid w:val="002265A2"/>
    <w:rsid w:val="002310BD"/>
    <w:rsid w:val="0023200E"/>
    <w:rsid w:val="0023207F"/>
    <w:rsid w:val="00232369"/>
    <w:rsid w:val="00235AB3"/>
    <w:rsid w:val="0024008A"/>
    <w:rsid w:val="002425DB"/>
    <w:rsid w:val="00245D81"/>
    <w:rsid w:val="00245F3C"/>
    <w:rsid w:val="00246D32"/>
    <w:rsid w:val="00250174"/>
    <w:rsid w:val="002503F3"/>
    <w:rsid w:val="00251725"/>
    <w:rsid w:val="00251FEC"/>
    <w:rsid w:val="0025337C"/>
    <w:rsid w:val="00254189"/>
    <w:rsid w:val="002562A3"/>
    <w:rsid w:val="0025632E"/>
    <w:rsid w:val="00257F12"/>
    <w:rsid w:val="002606D1"/>
    <w:rsid w:val="00260815"/>
    <w:rsid w:val="00271CAF"/>
    <w:rsid w:val="00276531"/>
    <w:rsid w:val="00276DB4"/>
    <w:rsid w:val="00281C9D"/>
    <w:rsid w:val="0028213F"/>
    <w:rsid w:val="00282B26"/>
    <w:rsid w:val="002926D9"/>
    <w:rsid w:val="002933E1"/>
    <w:rsid w:val="00293817"/>
    <w:rsid w:val="00295D57"/>
    <w:rsid w:val="002960BA"/>
    <w:rsid w:val="002A0134"/>
    <w:rsid w:val="002A252A"/>
    <w:rsid w:val="002A342C"/>
    <w:rsid w:val="002A787D"/>
    <w:rsid w:val="002B59C9"/>
    <w:rsid w:val="002C0B62"/>
    <w:rsid w:val="002C6CAD"/>
    <w:rsid w:val="002C74DD"/>
    <w:rsid w:val="002C7CDA"/>
    <w:rsid w:val="002D32D5"/>
    <w:rsid w:val="002E48FD"/>
    <w:rsid w:val="002E71F9"/>
    <w:rsid w:val="002F08CD"/>
    <w:rsid w:val="002F26FA"/>
    <w:rsid w:val="002F34A9"/>
    <w:rsid w:val="002F7BB8"/>
    <w:rsid w:val="00304D5E"/>
    <w:rsid w:val="0031284E"/>
    <w:rsid w:val="003179E7"/>
    <w:rsid w:val="00327E2B"/>
    <w:rsid w:val="00332020"/>
    <w:rsid w:val="00341FB6"/>
    <w:rsid w:val="00350A90"/>
    <w:rsid w:val="003532BA"/>
    <w:rsid w:val="00353372"/>
    <w:rsid w:val="00364BA0"/>
    <w:rsid w:val="00366761"/>
    <w:rsid w:val="003675FC"/>
    <w:rsid w:val="00371CEC"/>
    <w:rsid w:val="00372C5B"/>
    <w:rsid w:val="00372CA0"/>
    <w:rsid w:val="003745ED"/>
    <w:rsid w:val="00374D32"/>
    <w:rsid w:val="00382406"/>
    <w:rsid w:val="00382A84"/>
    <w:rsid w:val="00384C7B"/>
    <w:rsid w:val="00395462"/>
    <w:rsid w:val="00395E65"/>
    <w:rsid w:val="00396062"/>
    <w:rsid w:val="0039647E"/>
    <w:rsid w:val="003966E8"/>
    <w:rsid w:val="00396E9D"/>
    <w:rsid w:val="003978B1"/>
    <w:rsid w:val="003A06E3"/>
    <w:rsid w:val="003A4089"/>
    <w:rsid w:val="003A5CEC"/>
    <w:rsid w:val="003A5F2B"/>
    <w:rsid w:val="003A7397"/>
    <w:rsid w:val="003B6942"/>
    <w:rsid w:val="003B6D41"/>
    <w:rsid w:val="003B6D5A"/>
    <w:rsid w:val="003B7C44"/>
    <w:rsid w:val="003C195E"/>
    <w:rsid w:val="003C456A"/>
    <w:rsid w:val="003C7EC7"/>
    <w:rsid w:val="003D336C"/>
    <w:rsid w:val="003D4078"/>
    <w:rsid w:val="003D47EA"/>
    <w:rsid w:val="003D5C4C"/>
    <w:rsid w:val="003E3356"/>
    <w:rsid w:val="003E5158"/>
    <w:rsid w:val="003F1AB4"/>
    <w:rsid w:val="003F622B"/>
    <w:rsid w:val="003F7EDE"/>
    <w:rsid w:val="00404B06"/>
    <w:rsid w:val="004074DD"/>
    <w:rsid w:val="00411966"/>
    <w:rsid w:val="00416264"/>
    <w:rsid w:val="00417304"/>
    <w:rsid w:val="004226CD"/>
    <w:rsid w:val="00423283"/>
    <w:rsid w:val="004233AE"/>
    <w:rsid w:val="00424384"/>
    <w:rsid w:val="00425B87"/>
    <w:rsid w:val="0042609A"/>
    <w:rsid w:val="00426C38"/>
    <w:rsid w:val="00430250"/>
    <w:rsid w:val="00430377"/>
    <w:rsid w:val="00433AF9"/>
    <w:rsid w:val="0043568A"/>
    <w:rsid w:val="00442C4F"/>
    <w:rsid w:val="004438B9"/>
    <w:rsid w:val="00443D60"/>
    <w:rsid w:val="00444905"/>
    <w:rsid w:val="0044510F"/>
    <w:rsid w:val="00447210"/>
    <w:rsid w:val="00447274"/>
    <w:rsid w:val="00450F8F"/>
    <w:rsid w:val="00452F27"/>
    <w:rsid w:val="004552AF"/>
    <w:rsid w:val="004566F6"/>
    <w:rsid w:val="00460530"/>
    <w:rsid w:val="00461E23"/>
    <w:rsid w:val="004674CB"/>
    <w:rsid w:val="00471091"/>
    <w:rsid w:val="004719EF"/>
    <w:rsid w:val="00472EA8"/>
    <w:rsid w:val="00482F5D"/>
    <w:rsid w:val="0048301A"/>
    <w:rsid w:val="0048393C"/>
    <w:rsid w:val="00486A1A"/>
    <w:rsid w:val="004901FC"/>
    <w:rsid w:val="004903C1"/>
    <w:rsid w:val="00490F7D"/>
    <w:rsid w:val="00494462"/>
    <w:rsid w:val="00495930"/>
    <w:rsid w:val="004966A9"/>
    <w:rsid w:val="004A152B"/>
    <w:rsid w:val="004A2C14"/>
    <w:rsid w:val="004A3905"/>
    <w:rsid w:val="004A4285"/>
    <w:rsid w:val="004A4500"/>
    <w:rsid w:val="004A6412"/>
    <w:rsid w:val="004A7E05"/>
    <w:rsid w:val="004B1F73"/>
    <w:rsid w:val="004C02A3"/>
    <w:rsid w:val="004C0492"/>
    <w:rsid w:val="004C0E3F"/>
    <w:rsid w:val="004C19E0"/>
    <w:rsid w:val="004C2C4C"/>
    <w:rsid w:val="004C3FE6"/>
    <w:rsid w:val="004C464B"/>
    <w:rsid w:val="004C5463"/>
    <w:rsid w:val="004C5902"/>
    <w:rsid w:val="004E0D99"/>
    <w:rsid w:val="004E144A"/>
    <w:rsid w:val="004E56A6"/>
    <w:rsid w:val="004E5BF1"/>
    <w:rsid w:val="004E619D"/>
    <w:rsid w:val="004E74BE"/>
    <w:rsid w:val="004F129A"/>
    <w:rsid w:val="004F3C2C"/>
    <w:rsid w:val="004F4048"/>
    <w:rsid w:val="00503B9A"/>
    <w:rsid w:val="0050688E"/>
    <w:rsid w:val="0050704F"/>
    <w:rsid w:val="005148F7"/>
    <w:rsid w:val="005154B2"/>
    <w:rsid w:val="00520A6F"/>
    <w:rsid w:val="00520B3D"/>
    <w:rsid w:val="00521FEE"/>
    <w:rsid w:val="005262EA"/>
    <w:rsid w:val="005268EB"/>
    <w:rsid w:val="005334B7"/>
    <w:rsid w:val="0053773B"/>
    <w:rsid w:val="00537ABC"/>
    <w:rsid w:val="00540F42"/>
    <w:rsid w:val="0054190F"/>
    <w:rsid w:val="005444CE"/>
    <w:rsid w:val="00545A11"/>
    <w:rsid w:val="0054633D"/>
    <w:rsid w:val="00547CB3"/>
    <w:rsid w:val="00553A94"/>
    <w:rsid w:val="0055479C"/>
    <w:rsid w:val="00562F5C"/>
    <w:rsid w:val="00563BC7"/>
    <w:rsid w:val="0057026C"/>
    <w:rsid w:val="00570ED7"/>
    <w:rsid w:val="00581AD9"/>
    <w:rsid w:val="00583C3D"/>
    <w:rsid w:val="0058785E"/>
    <w:rsid w:val="0059122A"/>
    <w:rsid w:val="00592C7E"/>
    <w:rsid w:val="00592CD0"/>
    <w:rsid w:val="00594EC2"/>
    <w:rsid w:val="0059579E"/>
    <w:rsid w:val="00596310"/>
    <w:rsid w:val="005A477D"/>
    <w:rsid w:val="005A5B61"/>
    <w:rsid w:val="005A5ECA"/>
    <w:rsid w:val="005A6D2F"/>
    <w:rsid w:val="005B0FB3"/>
    <w:rsid w:val="005B17FE"/>
    <w:rsid w:val="005B3D65"/>
    <w:rsid w:val="005B6386"/>
    <w:rsid w:val="005C66F4"/>
    <w:rsid w:val="005D0962"/>
    <w:rsid w:val="005D26AD"/>
    <w:rsid w:val="005D786C"/>
    <w:rsid w:val="005E04E3"/>
    <w:rsid w:val="005E4887"/>
    <w:rsid w:val="005E4C74"/>
    <w:rsid w:val="005E5483"/>
    <w:rsid w:val="005F01C7"/>
    <w:rsid w:val="005F05FC"/>
    <w:rsid w:val="005F1853"/>
    <w:rsid w:val="005F1A17"/>
    <w:rsid w:val="005F45A7"/>
    <w:rsid w:val="005F728C"/>
    <w:rsid w:val="00600200"/>
    <w:rsid w:val="00600289"/>
    <w:rsid w:val="00600AAA"/>
    <w:rsid w:val="0060184D"/>
    <w:rsid w:val="00602E33"/>
    <w:rsid w:val="0060356B"/>
    <w:rsid w:val="006100A4"/>
    <w:rsid w:val="00611006"/>
    <w:rsid w:val="00611499"/>
    <w:rsid w:val="00611FD8"/>
    <w:rsid w:val="0061251E"/>
    <w:rsid w:val="00622299"/>
    <w:rsid w:val="0062234C"/>
    <w:rsid w:val="006227FD"/>
    <w:rsid w:val="00622B6A"/>
    <w:rsid w:val="006260C1"/>
    <w:rsid w:val="00626972"/>
    <w:rsid w:val="00630F79"/>
    <w:rsid w:val="006358C5"/>
    <w:rsid w:val="00637F52"/>
    <w:rsid w:val="00640E4B"/>
    <w:rsid w:val="00643254"/>
    <w:rsid w:val="00645B7F"/>
    <w:rsid w:val="006462CC"/>
    <w:rsid w:val="00647373"/>
    <w:rsid w:val="0064782A"/>
    <w:rsid w:val="006532A9"/>
    <w:rsid w:val="00654EA2"/>
    <w:rsid w:val="006561F2"/>
    <w:rsid w:val="00661BE8"/>
    <w:rsid w:val="006638AA"/>
    <w:rsid w:val="00665E0A"/>
    <w:rsid w:val="006660A5"/>
    <w:rsid w:val="00666681"/>
    <w:rsid w:val="00671FD3"/>
    <w:rsid w:val="00673092"/>
    <w:rsid w:val="0067534F"/>
    <w:rsid w:val="00681027"/>
    <w:rsid w:val="006830B8"/>
    <w:rsid w:val="006855F5"/>
    <w:rsid w:val="006865EE"/>
    <w:rsid w:val="006923AE"/>
    <w:rsid w:val="00692518"/>
    <w:rsid w:val="00694E78"/>
    <w:rsid w:val="006A00EC"/>
    <w:rsid w:val="006A19FA"/>
    <w:rsid w:val="006A1AAD"/>
    <w:rsid w:val="006A5C41"/>
    <w:rsid w:val="006A7D68"/>
    <w:rsid w:val="006B36A1"/>
    <w:rsid w:val="006B596C"/>
    <w:rsid w:val="006B6D92"/>
    <w:rsid w:val="006B779F"/>
    <w:rsid w:val="006B7FDC"/>
    <w:rsid w:val="006C64FE"/>
    <w:rsid w:val="006D1620"/>
    <w:rsid w:val="006D268E"/>
    <w:rsid w:val="006D73D7"/>
    <w:rsid w:val="006E03DB"/>
    <w:rsid w:val="006E1CAD"/>
    <w:rsid w:val="006E306C"/>
    <w:rsid w:val="006E6F8F"/>
    <w:rsid w:val="006F1B6A"/>
    <w:rsid w:val="006F6E40"/>
    <w:rsid w:val="0070054E"/>
    <w:rsid w:val="00705613"/>
    <w:rsid w:val="00707F42"/>
    <w:rsid w:val="007101BD"/>
    <w:rsid w:val="007145E0"/>
    <w:rsid w:val="007200AE"/>
    <w:rsid w:val="007203FE"/>
    <w:rsid w:val="0072205F"/>
    <w:rsid w:val="00723034"/>
    <w:rsid w:val="00723530"/>
    <w:rsid w:val="00724CBF"/>
    <w:rsid w:val="00725543"/>
    <w:rsid w:val="00727A07"/>
    <w:rsid w:val="0073153D"/>
    <w:rsid w:val="00735926"/>
    <w:rsid w:val="00735F2F"/>
    <w:rsid w:val="007362D3"/>
    <w:rsid w:val="007417AF"/>
    <w:rsid w:val="00742DF7"/>
    <w:rsid w:val="00746FC8"/>
    <w:rsid w:val="007474D8"/>
    <w:rsid w:val="00747DAA"/>
    <w:rsid w:val="00754C0A"/>
    <w:rsid w:val="00760822"/>
    <w:rsid w:val="00762BF0"/>
    <w:rsid w:val="00766584"/>
    <w:rsid w:val="00773059"/>
    <w:rsid w:val="00774763"/>
    <w:rsid w:val="00774A87"/>
    <w:rsid w:val="00774C5E"/>
    <w:rsid w:val="00775100"/>
    <w:rsid w:val="007770A3"/>
    <w:rsid w:val="00777D98"/>
    <w:rsid w:val="00782EC6"/>
    <w:rsid w:val="00787057"/>
    <w:rsid w:val="00790046"/>
    <w:rsid w:val="00792DC1"/>
    <w:rsid w:val="0079510E"/>
    <w:rsid w:val="007A16FD"/>
    <w:rsid w:val="007A2134"/>
    <w:rsid w:val="007A271A"/>
    <w:rsid w:val="007A2855"/>
    <w:rsid w:val="007A37DA"/>
    <w:rsid w:val="007A7261"/>
    <w:rsid w:val="007A7707"/>
    <w:rsid w:val="007B2715"/>
    <w:rsid w:val="007B2B73"/>
    <w:rsid w:val="007B2C4A"/>
    <w:rsid w:val="007C2A12"/>
    <w:rsid w:val="007C3653"/>
    <w:rsid w:val="007C3B94"/>
    <w:rsid w:val="007C3F3D"/>
    <w:rsid w:val="007D0DFC"/>
    <w:rsid w:val="007D6577"/>
    <w:rsid w:val="007E2C39"/>
    <w:rsid w:val="007E5F02"/>
    <w:rsid w:val="007E63B0"/>
    <w:rsid w:val="007E7F90"/>
    <w:rsid w:val="007F093E"/>
    <w:rsid w:val="007F320D"/>
    <w:rsid w:val="007F3D39"/>
    <w:rsid w:val="007F3EBD"/>
    <w:rsid w:val="007F4070"/>
    <w:rsid w:val="007F5A99"/>
    <w:rsid w:val="0080131C"/>
    <w:rsid w:val="0081056D"/>
    <w:rsid w:val="0082299C"/>
    <w:rsid w:val="00822EC6"/>
    <w:rsid w:val="00823A8F"/>
    <w:rsid w:val="00825E57"/>
    <w:rsid w:val="00825E69"/>
    <w:rsid w:val="0082672F"/>
    <w:rsid w:val="00830339"/>
    <w:rsid w:val="008304A2"/>
    <w:rsid w:val="008341E2"/>
    <w:rsid w:val="00834FCA"/>
    <w:rsid w:val="008378FD"/>
    <w:rsid w:val="0084335D"/>
    <w:rsid w:val="00853A53"/>
    <w:rsid w:val="00854179"/>
    <w:rsid w:val="00854B5A"/>
    <w:rsid w:val="00857C0A"/>
    <w:rsid w:val="00861E2B"/>
    <w:rsid w:val="0086296C"/>
    <w:rsid w:val="00862EE1"/>
    <w:rsid w:val="00863662"/>
    <w:rsid w:val="00863DC9"/>
    <w:rsid w:val="00872F42"/>
    <w:rsid w:val="0087465D"/>
    <w:rsid w:val="0087666F"/>
    <w:rsid w:val="0088290D"/>
    <w:rsid w:val="00883FC7"/>
    <w:rsid w:val="008863B3"/>
    <w:rsid w:val="00892C09"/>
    <w:rsid w:val="00895B37"/>
    <w:rsid w:val="00896D20"/>
    <w:rsid w:val="008A1125"/>
    <w:rsid w:val="008A3EA8"/>
    <w:rsid w:val="008A40B9"/>
    <w:rsid w:val="008A49ED"/>
    <w:rsid w:val="008B1F58"/>
    <w:rsid w:val="008B22A8"/>
    <w:rsid w:val="008B2890"/>
    <w:rsid w:val="008B2E54"/>
    <w:rsid w:val="008B7711"/>
    <w:rsid w:val="008B77FB"/>
    <w:rsid w:val="008C0EA7"/>
    <w:rsid w:val="008C1621"/>
    <w:rsid w:val="008C2F6C"/>
    <w:rsid w:val="008C3DBB"/>
    <w:rsid w:val="008C5C1D"/>
    <w:rsid w:val="008C5C79"/>
    <w:rsid w:val="008C7391"/>
    <w:rsid w:val="008D19B5"/>
    <w:rsid w:val="008D2481"/>
    <w:rsid w:val="008D607E"/>
    <w:rsid w:val="008D6AEA"/>
    <w:rsid w:val="008D6F3C"/>
    <w:rsid w:val="008E19D9"/>
    <w:rsid w:val="008E48D1"/>
    <w:rsid w:val="008E70C7"/>
    <w:rsid w:val="008F2F2C"/>
    <w:rsid w:val="008F417A"/>
    <w:rsid w:val="00904BDD"/>
    <w:rsid w:val="00912543"/>
    <w:rsid w:val="00912C4A"/>
    <w:rsid w:val="00917AA2"/>
    <w:rsid w:val="00920142"/>
    <w:rsid w:val="0092321D"/>
    <w:rsid w:val="00924177"/>
    <w:rsid w:val="00930516"/>
    <w:rsid w:val="00930616"/>
    <w:rsid w:val="00930BC9"/>
    <w:rsid w:val="009338EF"/>
    <w:rsid w:val="00933BC3"/>
    <w:rsid w:val="009372A8"/>
    <w:rsid w:val="009447EE"/>
    <w:rsid w:val="00946250"/>
    <w:rsid w:val="009471CF"/>
    <w:rsid w:val="009504F6"/>
    <w:rsid w:val="00952831"/>
    <w:rsid w:val="00956E91"/>
    <w:rsid w:val="009605D6"/>
    <w:rsid w:val="00961AD5"/>
    <w:rsid w:val="00963278"/>
    <w:rsid w:val="00967CB8"/>
    <w:rsid w:val="009707A4"/>
    <w:rsid w:val="009762E1"/>
    <w:rsid w:val="00977E12"/>
    <w:rsid w:val="00984727"/>
    <w:rsid w:val="00986108"/>
    <w:rsid w:val="00991363"/>
    <w:rsid w:val="00991964"/>
    <w:rsid w:val="00994F01"/>
    <w:rsid w:val="009964BB"/>
    <w:rsid w:val="00997852"/>
    <w:rsid w:val="0099788B"/>
    <w:rsid w:val="009A1E35"/>
    <w:rsid w:val="009A5D13"/>
    <w:rsid w:val="009A5D83"/>
    <w:rsid w:val="009B0ECF"/>
    <w:rsid w:val="009B172E"/>
    <w:rsid w:val="009B1CE8"/>
    <w:rsid w:val="009B1DDC"/>
    <w:rsid w:val="009B31C7"/>
    <w:rsid w:val="009B5085"/>
    <w:rsid w:val="009B5ED1"/>
    <w:rsid w:val="009B6218"/>
    <w:rsid w:val="009B67FE"/>
    <w:rsid w:val="009B7B12"/>
    <w:rsid w:val="009B7CB3"/>
    <w:rsid w:val="009C01AF"/>
    <w:rsid w:val="009C40FB"/>
    <w:rsid w:val="009C493E"/>
    <w:rsid w:val="009C4E1E"/>
    <w:rsid w:val="009C71F7"/>
    <w:rsid w:val="009D0855"/>
    <w:rsid w:val="009D1BA6"/>
    <w:rsid w:val="009D49B5"/>
    <w:rsid w:val="009D635A"/>
    <w:rsid w:val="009D6D96"/>
    <w:rsid w:val="009D7FA8"/>
    <w:rsid w:val="009E17DF"/>
    <w:rsid w:val="009E236A"/>
    <w:rsid w:val="009E26A1"/>
    <w:rsid w:val="009E363D"/>
    <w:rsid w:val="009E5980"/>
    <w:rsid w:val="009F0471"/>
    <w:rsid w:val="009F1A89"/>
    <w:rsid w:val="009F3EE2"/>
    <w:rsid w:val="009F4CF0"/>
    <w:rsid w:val="009F5371"/>
    <w:rsid w:val="009F702D"/>
    <w:rsid w:val="00A00C90"/>
    <w:rsid w:val="00A0496F"/>
    <w:rsid w:val="00A056F4"/>
    <w:rsid w:val="00A077C5"/>
    <w:rsid w:val="00A13278"/>
    <w:rsid w:val="00A13699"/>
    <w:rsid w:val="00A13BD1"/>
    <w:rsid w:val="00A15A17"/>
    <w:rsid w:val="00A16432"/>
    <w:rsid w:val="00A2231C"/>
    <w:rsid w:val="00A25729"/>
    <w:rsid w:val="00A257BB"/>
    <w:rsid w:val="00A25829"/>
    <w:rsid w:val="00A27B30"/>
    <w:rsid w:val="00A3124A"/>
    <w:rsid w:val="00A35221"/>
    <w:rsid w:val="00A359D8"/>
    <w:rsid w:val="00A35B87"/>
    <w:rsid w:val="00A36EF9"/>
    <w:rsid w:val="00A3774E"/>
    <w:rsid w:val="00A444E0"/>
    <w:rsid w:val="00A4576E"/>
    <w:rsid w:val="00A468A1"/>
    <w:rsid w:val="00A473F4"/>
    <w:rsid w:val="00A508D0"/>
    <w:rsid w:val="00A5282E"/>
    <w:rsid w:val="00A53F4B"/>
    <w:rsid w:val="00A576CC"/>
    <w:rsid w:val="00A63175"/>
    <w:rsid w:val="00A63C24"/>
    <w:rsid w:val="00A641D9"/>
    <w:rsid w:val="00A66D27"/>
    <w:rsid w:val="00A707BF"/>
    <w:rsid w:val="00A735AE"/>
    <w:rsid w:val="00A74666"/>
    <w:rsid w:val="00A747C8"/>
    <w:rsid w:val="00A803D7"/>
    <w:rsid w:val="00A81027"/>
    <w:rsid w:val="00A82F83"/>
    <w:rsid w:val="00A83843"/>
    <w:rsid w:val="00A855F2"/>
    <w:rsid w:val="00A93F2A"/>
    <w:rsid w:val="00A94770"/>
    <w:rsid w:val="00A965D8"/>
    <w:rsid w:val="00AA0165"/>
    <w:rsid w:val="00AA6F2B"/>
    <w:rsid w:val="00AA72AC"/>
    <w:rsid w:val="00AB0F5C"/>
    <w:rsid w:val="00AB6A6B"/>
    <w:rsid w:val="00AB7B0C"/>
    <w:rsid w:val="00AB7F55"/>
    <w:rsid w:val="00AC0854"/>
    <w:rsid w:val="00AC68C3"/>
    <w:rsid w:val="00AC7D8F"/>
    <w:rsid w:val="00AD22F0"/>
    <w:rsid w:val="00AD3BCC"/>
    <w:rsid w:val="00AD510B"/>
    <w:rsid w:val="00AD54D6"/>
    <w:rsid w:val="00AD6CBF"/>
    <w:rsid w:val="00AD7FEA"/>
    <w:rsid w:val="00AE50E9"/>
    <w:rsid w:val="00AE54BB"/>
    <w:rsid w:val="00AE603F"/>
    <w:rsid w:val="00AE6451"/>
    <w:rsid w:val="00AE7128"/>
    <w:rsid w:val="00AF0DDC"/>
    <w:rsid w:val="00AF1E45"/>
    <w:rsid w:val="00AF24D8"/>
    <w:rsid w:val="00AF30AD"/>
    <w:rsid w:val="00AF3E7F"/>
    <w:rsid w:val="00AF4F3C"/>
    <w:rsid w:val="00AF5DDA"/>
    <w:rsid w:val="00AF6020"/>
    <w:rsid w:val="00AF60B3"/>
    <w:rsid w:val="00B02528"/>
    <w:rsid w:val="00B039AF"/>
    <w:rsid w:val="00B10776"/>
    <w:rsid w:val="00B113B9"/>
    <w:rsid w:val="00B13D81"/>
    <w:rsid w:val="00B143B8"/>
    <w:rsid w:val="00B146C5"/>
    <w:rsid w:val="00B14C2F"/>
    <w:rsid w:val="00B15E62"/>
    <w:rsid w:val="00B16864"/>
    <w:rsid w:val="00B17699"/>
    <w:rsid w:val="00B20D37"/>
    <w:rsid w:val="00B2117B"/>
    <w:rsid w:val="00B254DA"/>
    <w:rsid w:val="00B256E7"/>
    <w:rsid w:val="00B325E4"/>
    <w:rsid w:val="00B33DB6"/>
    <w:rsid w:val="00B363D3"/>
    <w:rsid w:val="00B37947"/>
    <w:rsid w:val="00B4094D"/>
    <w:rsid w:val="00B41D9D"/>
    <w:rsid w:val="00B469CF"/>
    <w:rsid w:val="00B504C9"/>
    <w:rsid w:val="00B50A94"/>
    <w:rsid w:val="00B515E0"/>
    <w:rsid w:val="00B525A8"/>
    <w:rsid w:val="00B52FDD"/>
    <w:rsid w:val="00B61947"/>
    <w:rsid w:val="00B65241"/>
    <w:rsid w:val="00B66FB9"/>
    <w:rsid w:val="00B67C67"/>
    <w:rsid w:val="00B701F0"/>
    <w:rsid w:val="00B727E1"/>
    <w:rsid w:val="00B81BB4"/>
    <w:rsid w:val="00B847CC"/>
    <w:rsid w:val="00B85EB1"/>
    <w:rsid w:val="00B868B2"/>
    <w:rsid w:val="00B86D09"/>
    <w:rsid w:val="00B876BB"/>
    <w:rsid w:val="00B90337"/>
    <w:rsid w:val="00B90DE3"/>
    <w:rsid w:val="00B913B3"/>
    <w:rsid w:val="00B92498"/>
    <w:rsid w:val="00B933AA"/>
    <w:rsid w:val="00B93BFD"/>
    <w:rsid w:val="00B940E7"/>
    <w:rsid w:val="00B9417F"/>
    <w:rsid w:val="00B945F2"/>
    <w:rsid w:val="00B94C0E"/>
    <w:rsid w:val="00B94EE0"/>
    <w:rsid w:val="00BA2603"/>
    <w:rsid w:val="00BA5053"/>
    <w:rsid w:val="00BB09F8"/>
    <w:rsid w:val="00BB0F01"/>
    <w:rsid w:val="00BB118A"/>
    <w:rsid w:val="00BB2F2C"/>
    <w:rsid w:val="00BB3B93"/>
    <w:rsid w:val="00BB5B4F"/>
    <w:rsid w:val="00BB68D9"/>
    <w:rsid w:val="00BC4003"/>
    <w:rsid w:val="00BC40FB"/>
    <w:rsid w:val="00BC7440"/>
    <w:rsid w:val="00BC7D6C"/>
    <w:rsid w:val="00BD1972"/>
    <w:rsid w:val="00BD39B9"/>
    <w:rsid w:val="00BD7892"/>
    <w:rsid w:val="00BD7EAC"/>
    <w:rsid w:val="00BE1A61"/>
    <w:rsid w:val="00BE2169"/>
    <w:rsid w:val="00BE2192"/>
    <w:rsid w:val="00BE659C"/>
    <w:rsid w:val="00BF3EE6"/>
    <w:rsid w:val="00BF4591"/>
    <w:rsid w:val="00BF5BD2"/>
    <w:rsid w:val="00BF6D6C"/>
    <w:rsid w:val="00BF768C"/>
    <w:rsid w:val="00C12C6F"/>
    <w:rsid w:val="00C247A3"/>
    <w:rsid w:val="00C26381"/>
    <w:rsid w:val="00C411E5"/>
    <w:rsid w:val="00C454BA"/>
    <w:rsid w:val="00C462C8"/>
    <w:rsid w:val="00C4670F"/>
    <w:rsid w:val="00C52F12"/>
    <w:rsid w:val="00C55A14"/>
    <w:rsid w:val="00C57942"/>
    <w:rsid w:val="00C63414"/>
    <w:rsid w:val="00C647E8"/>
    <w:rsid w:val="00C67568"/>
    <w:rsid w:val="00C67EE9"/>
    <w:rsid w:val="00C71574"/>
    <w:rsid w:val="00C752AB"/>
    <w:rsid w:val="00C75498"/>
    <w:rsid w:val="00C76679"/>
    <w:rsid w:val="00C77948"/>
    <w:rsid w:val="00C80339"/>
    <w:rsid w:val="00C81384"/>
    <w:rsid w:val="00C8211B"/>
    <w:rsid w:val="00C84BF3"/>
    <w:rsid w:val="00C85BF6"/>
    <w:rsid w:val="00C87215"/>
    <w:rsid w:val="00C964DD"/>
    <w:rsid w:val="00CA5357"/>
    <w:rsid w:val="00CB03FC"/>
    <w:rsid w:val="00CB0BC9"/>
    <w:rsid w:val="00CB2405"/>
    <w:rsid w:val="00CB2D16"/>
    <w:rsid w:val="00CC3571"/>
    <w:rsid w:val="00CC4168"/>
    <w:rsid w:val="00CD0057"/>
    <w:rsid w:val="00CD43DF"/>
    <w:rsid w:val="00CD7A51"/>
    <w:rsid w:val="00CE07DA"/>
    <w:rsid w:val="00CE1072"/>
    <w:rsid w:val="00CE3B31"/>
    <w:rsid w:val="00CE7A98"/>
    <w:rsid w:val="00CF15B6"/>
    <w:rsid w:val="00CF1BF5"/>
    <w:rsid w:val="00CF268D"/>
    <w:rsid w:val="00D00310"/>
    <w:rsid w:val="00D01A64"/>
    <w:rsid w:val="00D02DC7"/>
    <w:rsid w:val="00D06DD4"/>
    <w:rsid w:val="00D14FBC"/>
    <w:rsid w:val="00D17C44"/>
    <w:rsid w:val="00D211D1"/>
    <w:rsid w:val="00D23907"/>
    <w:rsid w:val="00D26CFE"/>
    <w:rsid w:val="00D272ED"/>
    <w:rsid w:val="00D356E3"/>
    <w:rsid w:val="00D376DD"/>
    <w:rsid w:val="00D4074B"/>
    <w:rsid w:val="00D40B46"/>
    <w:rsid w:val="00D50F4F"/>
    <w:rsid w:val="00D535BA"/>
    <w:rsid w:val="00D549FD"/>
    <w:rsid w:val="00D55371"/>
    <w:rsid w:val="00D5587E"/>
    <w:rsid w:val="00D600EF"/>
    <w:rsid w:val="00D62A01"/>
    <w:rsid w:val="00D6511D"/>
    <w:rsid w:val="00D65819"/>
    <w:rsid w:val="00D747E3"/>
    <w:rsid w:val="00D74D64"/>
    <w:rsid w:val="00D77184"/>
    <w:rsid w:val="00D77928"/>
    <w:rsid w:val="00D805FF"/>
    <w:rsid w:val="00D855EE"/>
    <w:rsid w:val="00D85620"/>
    <w:rsid w:val="00D86111"/>
    <w:rsid w:val="00D9600E"/>
    <w:rsid w:val="00D9606B"/>
    <w:rsid w:val="00DA01DE"/>
    <w:rsid w:val="00DA73ED"/>
    <w:rsid w:val="00DB46A0"/>
    <w:rsid w:val="00DB53EE"/>
    <w:rsid w:val="00DB5A29"/>
    <w:rsid w:val="00DB757F"/>
    <w:rsid w:val="00DC47F7"/>
    <w:rsid w:val="00DC5018"/>
    <w:rsid w:val="00DC52EE"/>
    <w:rsid w:val="00DD109B"/>
    <w:rsid w:val="00DD264C"/>
    <w:rsid w:val="00DD524C"/>
    <w:rsid w:val="00DD62B1"/>
    <w:rsid w:val="00DE0088"/>
    <w:rsid w:val="00DE1797"/>
    <w:rsid w:val="00DE1F7B"/>
    <w:rsid w:val="00DE2487"/>
    <w:rsid w:val="00DE2DB7"/>
    <w:rsid w:val="00DE6EA8"/>
    <w:rsid w:val="00DF2635"/>
    <w:rsid w:val="00DF6BF2"/>
    <w:rsid w:val="00E012CC"/>
    <w:rsid w:val="00E0229A"/>
    <w:rsid w:val="00E034DC"/>
    <w:rsid w:val="00E055DA"/>
    <w:rsid w:val="00E074A9"/>
    <w:rsid w:val="00E1136B"/>
    <w:rsid w:val="00E12927"/>
    <w:rsid w:val="00E16ABC"/>
    <w:rsid w:val="00E234B1"/>
    <w:rsid w:val="00E2474C"/>
    <w:rsid w:val="00E24E1E"/>
    <w:rsid w:val="00E2797C"/>
    <w:rsid w:val="00E3149F"/>
    <w:rsid w:val="00E33AC8"/>
    <w:rsid w:val="00E364BA"/>
    <w:rsid w:val="00E416FF"/>
    <w:rsid w:val="00E43E0E"/>
    <w:rsid w:val="00E43F82"/>
    <w:rsid w:val="00E45680"/>
    <w:rsid w:val="00E46019"/>
    <w:rsid w:val="00E47EC3"/>
    <w:rsid w:val="00E50D3A"/>
    <w:rsid w:val="00E540F2"/>
    <w:rsid w:val="00E54261"/>
    <w:rsid w:val="00E5623A"/>
    <w:rsid w:val="00E610B8"/>
    <w:rsid w:val="00E64617"/>
    <w:rsid w:val="00E665C9"/>
    <w:rsid w:val="00E7273F"/>
    <w:rsid w:val="00E73C87"/>
    <w:rsid w:val="00E74275"/>
    <w:rsid w:val="00E74AC4"/>
    <w:rsid w:val="00E80059"/>
    <w:rsid w:val="00E81137"/>
    <w:rsid w:val="00E826CB"/>
    <w:rsid w:val="00E837CB"/>
    <w:rsid w:val="00E86822"/>
    <w:rsid w:val="00E9144C"/>
    <w:rsid w:val="00E923EE"/>
    <w:rsid w:val="00E93F5C"/>
    <w:rsid w:val="00E94EAA"/>
    <w:rsid w:val="00EA0942"/>
    <w:rsid w:val="00EA12E2"/>
    <w:rsid w:val="00EA27F9"/>
    <w:rsid w:val="00EA353A"/>
    <w:rsid w:val="00EA3E69"/>
    <w:rsid w:val="00EA7261"/>
    <w:rsid w:val="00EA7BC8"/>
    <w:rsid w:val="00EA7DE2"/>
    <w:rsid w:val="00EB1884"/>
    <w:rsid w:val="00EB1913"/>
    <w:rsid w:val="00EB4770"/>
    <w:rsid w:val="00EB504F"/>
    <w:rsid w:val="00EB680D"/>
    <w:rsid w:val="00EC0CFE"/>
    <w:rsid w:val="00EC26D5"/>
    <w:rsid w:val="00EC6004"/>
    <w:rsid w:val="00ED2551"/>
    <w:rsid w:val="00ED3125"/>
    <w:rsid w:val="00ED53ED"/>
    <w:rsid w:val="00ED6611"/>
    <w:rsid w:val="00ED7808"/>
    <w:rsid w:val="00EE0EA3"/>
    <w:rsid w:val="00EE6ADF"/>
    <w:rsid w:val="00EE6AF3"/>
    <w:rsid w:val="00EE71A9"/>
    <w:rsid w:val="00EF09C8"/>
    <w:rsid w:val="00EF2E87"/>
    <w:rsid w:val="00EF430F"/>
    <w:rsid w:val="00EF6411"/>
    <w:rsid w:val="00F02509"/>
    <w:rsid w:val="00F23859"/>
    <w:rsid w:val="00F2397D"/>
    <w:rsid w:val="00F26D1F"/>
    <w:rsid w:val="00F30E4F"/>
    <w:rsid w:val="00F33E35"/>
    <w:rsid w:val="00F34C5B"/>
    <w:rsid w:val="00F35236"/>
    <w:rsid w:val="00F37375"/>
    <w:rsid w:val="00F3752E"/>
    <w:rsid w:val="00F42501"/>
    <w:rsid w:val="00F44606"/>
    <w:rsid w:val="00F4751B"/>
    <w:rsid w:val="00F47A85"/>
    <w:rsid w:val="00F50B6C"/>
    <w:rsid w:val="00F51119"/>
    <w:rsid w:val="00F5201B"/>
    <w:rsid w:val="00F53947"/>
    <w:rsid w:val="00F60F03"/>
    <w:rsid w:val="00F614BF"/>
    <w:rsid w:val="00F629FC"/>
    <w:rsid w:val="00F6411B"/>
    <w:rsid w:val="00F64B68"/>
    <w:rsid w:val="00F64EF8"/>
    <w:rsid w:val="00F714BC"/>
    <w:rsid w:val="00F73782"/>
    <w:rsid w:val="00F73806"/>
    <w:rsid w:val="00F81A85"/>
    <w:rsid w:val="00F8335C"/>
    <w:rsid w:val="00F925D1"/>
    <w:rsid w:val="00F92A1D"/>
    <w:rsid w:val="00F96047"/>
    <w:rsid w:val="00FA7D05"/>
    <w:rsid w:val="00FB0A00"/>
    <w:rsid w:val="00FB1A36"/>
    <w:rsid w:val="00FB300B"/>
    <w:rsid w:val="00FB327A"/>
    <w:rsid w:val="00FB49FB"/>
    <w:rsid w:val="00FC3AEA"/>
    <w:rsid w:val="00FC3F10"/>
    <w:rsid w:val="00FC4BA3"/>
    <w:rsid w:val="00FD00A5"/>
    <w:rsid w:val="00FD3ECB"/>
    <w:rsid w:val="00FD47E4"/>
    <w:rsid w:val="00FD58C2"/>
    <w:rsid w:val="00FD5CE3"/>
    <w:rsid w:val="00FE055A"/>
    <w:rsid w:val="00FE08EE"/>
    <w:rsid w:val="00FE21CC"/>
    <w:rsid w:val="00FE49A0"/>
    <w:rsid w:val="00FE57A8"/>
    <w:rsid w:val="00FE70BD"/>
    <w:rsid w:val="00FF0358"/>
    <w:rsid w:val="00FF3162"/>
    <w:rsid w:val="00FF50E5"/>
    <w:rsid w:val="00FF6CB2"/>
    <w:rsid w:val="00FF7362"/>
    <w:rsid w:val="01D86C1F"/>
    <w:rsid w:val="02D35B66"/>
    <w:rsid w:val="03092681"/>
    <w:rsid w:val="03F9556B"/>
    <w:rsid w:val="057A21B0"/>
    <w:rsid w:val="0631434C"/>
    <w:rsid w:val="06377A9B"/>
    <w:rsid w:val="06BA13CB"/>
    <w:rsid w:val="06BB14A1"/>
    <w:rsid w:val="08616A99"/>
    <w:rsid w:val="08727BE8"/>
    <w:rsid w:val="08E20683"/>
    <w:rsid w:val="09B57D64"/>
    <w:rsid w:val="09D04143"/>
    <w:rsid w:val="09DD2A5A"/>
    <w:rsid w:val="0A021309"/>
    <w:rsid w:val="0A8946AA"/>
    <w:rsid w:val="0B574616"/>
    <w:rsid w:val="0B9E6E79"/>
    <w:rsid w:val="0BBD3E4B"/>
    <w:rsid w:val="0CA76990"/>
    <w:rsid w:val="0CC914D7"/>
    <w:rsid w:val="0D642076"/>
    <w:rsid w:val="0E140A7C"/>
    <w:rsid w:val="0E267936"/>
    <w:rsid w:val="0E345BA6"/>
    <w:rsid w:val="11906548"/>
    <w:rsid w:val="12E455DB"/>
    <w:rsid w:val="13082770"/>
    <w:rsid w:val="1366596C"/>
    <w:rsid w:val="140D38FB"/>
    <w:rsid w:val="14142AD6"/>
    <w:rsid w:val="17903E74"/>
    <w:rsid w:val="17C03D23"/>
    <w:rsid w:val="18312560"/>
    <w:rsid w:val="18A9521D"/>
    <w:rsid w:val="19D758C0"/>
    <w:rsid w:val="1A48128A"/>
    <w:rsid w:val="1AB055B8"/>
    <w:rsid w:val="1B1D4A0F"/>
    <w:rsid w:val="1B733C76"/>
    <w:rsid w:val="1B9F683F"/>
    <w:rsid w:val="1BC64325"/>
    <w:rsid w:val="1C0D2827"/>
    <w:rsid w:val="1C3477BD"/>
    <w:rsid w:val="1CDE3434"/>
    <w:rsid w:val="1D20547C"/>
    <w:rsid w:val="1E1F27A4"/>
    <w:rsid w:val="1E5477A9"/>
    <w:rsid w:val="1E6B413E"/>
    <w:rsid w:val="1E8A57AE"/>
    <w:rsid w:val="1FDD62F4"/>
    <w:rsid w:val="20347305"/>
    <w:rsid w:val="20894FC5"/>
    <w:rsid w:val="22FF5DDA"/>
    <w:rsid w:val="23236C72"/>
    <w:rsid w:val="23371B53"/>
    <w:rsid w:val="24CE71E6"/>
    <w:rsid w:val="252D6B10"/>
    <w:rsid w:val="259953FD"/>
    <w:rsid w:val="25D25C5F"/>
    <w:rsid w:val="26400DC9"/>
    <w:rsid w:val="269E28A9"/>
    <w:rsid w:val="26A03CBA"/>
    <w:rsid w:val="26AC1181"/>
    <w:rsid w:val="26EE7155"/>
    <w:rsid w:val="284535C2"/>
    <w:rsid w:val="289610AF"/>
    <w:rsid w:val="290B59B8"/>
    <w:rsid w:val="29432519"/>
    <w:rsid w:val="29E94144"/>
    <w:rsid w:val="2A7A6B10"/>
    <w:rsid w:val="2A967E37"/>
    <w:rsid w:val="2B210518"/>
    <w:rsid w:val="2B244689"/>
    <w:rsid w:val="2B891026"/>
    <w:rsid w:val="2D397509"/>
    <w:rsid w:val="2DBE1EE4"/>
    <w:rsid w:val="2E2B70AA"/>
    <w:rsid w:val="2E3D36B9"/>
    <w:rsid w:val="2E66610D"/>
    <w:rsid w:val="3023316B"/>
    <w:rsid w:val="3046299E"/>
    <w:rsid w:val="30A24A4D"/>
    <w:rsid w:val="31100DD4"/>
    <w:rsid w:val="312729D3"/>
    <w:rsid w:val="317E230E"/>
    <w:rsid w:val="322C4525"/>
    <w:rsid w:val="32AC0D2D"/>
    <w:rsid w:val="32B329C5"/>
    <w:rsid w:val="33202D8F"/>
    <w:rsid w:val="3323057C"/>
    <w:rsid w:val="33996964"/>
    <w:rsid w:val="33CA61EC"/>
    <w:rsid w:val="340B48E9"/>
    <w:rsid w:val="344F22C3"/>
    <w:rsid w:val="3487128E"/>
    <w:rsid w:val="34C715C8"/>
    <w:rsid w:val="34E14E23"/>
    <w:rsid w:val="354B73DD"/>
    <w:rsid w:val="3577129B"/>
    <w:rsid w:val="35C14DD5"/>
    <w:rsid w:val="366C4415"/>
    <w:rsid w:val="371B6FD7"/>
    <w:rsid w:val="376A2F9D"/>
    <w:rsid w:val="377607B2"/>
    <w:rsid w:val="37C26573"/>
    <w:rsid w:val="38CE60E2"/>
    <w:rsid w:val="390B4F33"/>
    <w:rsid w:val="3937243D"/>
    <w:rsid w:val="39CA6CA8"/>
    <w:rsid w:val="3BA4257B"/>
    <w:rsid w:val="3C3A487B"/>
    <w:rsid w:val="3C806805"/>
    <w:rsid w:val="3D0C201C"/>
    <w:rsid w:val="3D8605BE"/>
    <w:rsid w:val="3DE76892"/>
    <w:rsid w:val="3E32680B"/>
    <w:rsid w:val="3F8E32F7"/>
    <w:rsid w:val="3FF740DC"/>
    <w:rsid w:val="3FFA6FF7"/>
    <w:rsid w:val="4006655C"/>
    <w:rsid w:val="419446DA"/>
    <w:rsid w:val="4256749B"/>
    <w:rsid w:val="42696E85"/>
    <w:rsid w:val="426B4C8E"/>
    <w:rsid w:val="427750B8"/>
    <w:rsid w:val="428C3B3E"/>
    <w:rsid w:val="42A355F6"/>
    <w:rsid w:val="42EF0DF5"/>
    <w:rsid w:val="434A3C0B"/>
    <w:rsid w:val="43AB047C"/>
    <w:rsid w:val="44326360"/>
    <w:rsid w:val="44774B1D"/>
    <w:rsid w:val="44F6369B"/>
    <w:rsid w:val="45A4526D"/>
    <w:rsid w:val="4645672B"/>
    <w:rsid w:val="473321C0"/>
    <w:rsid w:val="48297635"/>
    <w:rsid w:val="488C6717"/>
    <w:rsid w:val="489D2A6B"/>
    <w:rsid w:val="49147449"/>
    <w:rsid w:val="491C1A3E"/>
    <w:rsid w:val="49640F52"/>
    <w:rsid w:val="4A581E7B"/>
    <w:rsid w:val="4AE14BDC"/>
    <w:rsid w:val="4C746AC3"/>
    <w:rsid w:val="4C8D42CB"/>
    <w:rsid w:val="4CA77FD5"/>
    <w:rsid w:val="4D071F12"/>
    <w:rsid w:val="4DE9625E"/>
    <w:rsid w:val="4FA7029E"/>
    <w:rsid w:val="4FA93D39"/>
    <w:rsid w:val="500C1693"/>
    <w:rsid w:val="502E2F58"/>
    <w:rsid w:val="507440A0"/>
    <w:rsid w:val="51E051BB"/>
    <w:rsid w:val="5227758C"/>
    <w:rsid w:val="543513E7"/>
    <w:rsid w:val="553C11A5"/>
    <w:rsid w:val="5599016C"/>
    <w:rsid w:val="559D19BF"/>
    <w:rsid w:val="56096048"/>
    <w:rsid w:val="563C39AB"/>
    <w:rsid w:val="58DB7138"/>
    <w:rsid w:val="58E045A7"/>
    <w:rsid w:val="5AAE3CED"/>
    <w:rsid w:val="5AEB1DE0"/>
    <w:rsid w:val="5C070A3D"/>
    <w:rsid w:val="5C67534B"/>
    <w:rsid w:val="5CCC29D7"/>
    <w:rsid w:val="5D372844"/>
    <w:rsid w:val="5D6870DF"/>
    <w:rsid w:val="5E1C11D7"/>
    <w:rsid w:val="5E39189C"/>
    <w:rsid w:val="5EF7715F"/>
    <w:rsid w:val="60A53434"/>
    <w:rsid w:val="60D64600"/>
    <w:rsid w:val="61575C4D"/>
    <w:rsid w:val="61957C0D"/>
    <w:rsid w:val="62286DB2"/>
    <w:rsid w:val="627924C4"/>
    <w:rsid w:val="631A2678"/>
    <w:rsid w:val="633B53BF"/>
    <w:rsid w:val="634B7480"/>
    <w:rsid w:val="65F02AC0"/>
    <w:rsid w:val="66107E9D"/>
    <w:rsid w:val="66113DF2"/>
    <w:rsid w:val="66224713"/>
    <w:rsid w:val="668A225A"/>
    <w:rsid w:val="677A1950"/>
    <w:rsid w:val="69972E00"/>
    <w:rsid w:val="69BF0A68"/>
    <w:rsid w:val="69F05C71"/>
    <w:rsid w:val="6A010283"/>
    <w:rsid w:val="6A691C88"/>
    <w:rsid w:val="6A6C7999"/>
    <w:rsid w:val="6B4F251F"/>
    <w:rsid w:val="6B570C13"/>
    <w:rsid w:val="6C3B4F4B"/>
    <w:rsid w:val="6DFC3167"/>
    <w:rsid w:val="6E4E4E58"/>
    <w:rsid w:val="6E8D04A4"/>
    <w:rsid w:val="6EA95BBD"/>
    <w:rsid w:val="6EAB14E1"/>
    <w:rsid w:val="6EB97F08"/>
    <w:rsid w:val="6EBC7D46"/>
    <w:rsid w:val="6FF470D6"/>
    <w:rsid w:val="708B5D71"/>
    <w:rsid w:val="70F93E47"/>
    <w:rsid w:val="72382159"/>
    <w:rsid w:val="72B35795"/>
    <w:rsid w:val="73302A59"/>
    <w:rsid w:val="737C3BBB"/>
    <w:rsid w:val="739B3A3F"/>
    <w:rsid w:val="73C278D2"/>
    <w:rsid w:val="73C461EB"/>
    <w:rsid w:val="73CC26C4"/>
    <w:rsid w:val="73D070BF"/>
    <w:rsid w:val="74A66440"/>
    <w:rsid w:val="7547292F"/>
    <w:rsid w:val="7583340E"/>
    <w:rsid w:val="78436F37"/>
    <w:rsid w:val="784E32BB"/>
    <w:rsid w:val="78DA716C"/>
    <w:rsid w:val="79C66343"/>
    <w:rsid w:val="7C8030BC"/>
    <w:rsid w:val="7CD64D7E"/>
    <w:rsid w:val="7CE942D4"/>
    <w:rsid w:val="7D50106E"/>
    <w:rsid w:val="7F2008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w:basedOn w:val="1"/>
    <w:link w:val="14"/>
    <w:qFormat/>
    <w:uiPriority w:val="1"/>
    <w:pPr>
      <w:ind w:left="103"/>
      <w:jc w:val="left"/>
    </w:pPr>
    <w:rPr>
      <w:rFonts w:ascii="Arial Unicode MS" w:hAnsi="Arial Unicode MS" w:eastAsia="Arial Unicode MS" w:cs="Times New Roman"/>
      <w:kern w:val="0"/>
      <w:sz w:val="31"/>
      <w:szCs w:val="31"/>
      <w:lang w:eastAsia="en-US"/>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4"/>
    <w:semiHidden/>
    <w:qFormat/>
    <w:uiPriority w:val="99"/>
    <w:rPr>
      <w:sz w:val="18"/>
      <w:szCs w:val="18"/>
    </w:rPr>
  </w:style>
  <w:style w:type="character" w:customStyle="1" w:styleId="14">
    <w:name w:val="正文文本 Char"/>
    <w:basedOn w:val="7"/>
    <w:link w:val="3"/>
    <w:uiPriority w:val="1"/>
    <w:rPr>
      <w:rFonts w:ascii="Arial Unicode MS" w:hAnsi="Arial Unicode MS" w:eastAsia="Arial Unicode MS"/>
      <w:sz w:val="31"/>
      <w:szCs w:val="31"/>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01842-EA12-498E-A6BE-DE3172583D5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1016</Words>
  <Characters>5797</Characters>
  <Lines>48</Lines>
  <Paragraphs>13</Paragraphs>
  <TotalTime>421</TotalTime>
  <ScaleCrop>false</ScaleCrop>
  <LinksUpToDate>false</LinksUpToDate>
  <CharactersWithSpaces>6800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2020-03-09T07:31:00Z</dcterms:created>
  <dc:creator>微软用户</dc:creator>
  <cp:lastModifiedBy>Administrator</cp:lastModifiedBy>
  <cp:lastPrinted>2020-03-11T09:32:00Z</cp:lastPrinted>
  <dcterms:modified xsi:type="dcterms:W3CDTF">2020-04-20T07:44:09Z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