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7" w:rsidRPr="005D2E09" w:rsidRDefault="00D129F7" w:rsidP="005D2E09">
      <w:pPr>
        <w:pStyle w:val="a6"/>
        <w:jc w:val="center"/>
        <w:rPr>
          <w:rFonts w:ascii="楷体" w:eastAsia="楷体" w:hAnsi="楷体" w:hint="eastAsia"/>
          <w:color w:val="000000"/>
          <w:sz w:val="30"/>
          <w:szCs w:val="30"/>
        </w:rPr>
      </w:pPr>
      <w:proofErr w:type="gramStart"/>
      <w:r w:rsidRPr="005D2E09">
        <w:rPr>
          <w:rFonts w:ascii="楷体" w:eastAsia="楷体" w:hAnsi="楷体" w:hint="eastAsia"/>
          <w:color w:val="000000"/>
          <w:sz w:val="30"/>
          <w:szCs w:val="30"/>
        </w:rPr>
        <w:t>扶余市法院</w:t>
      </w:r>
      <w:proofErr w:type="gramEnd"/>
      <w:r w:rsidRPr="005D2E09">
        <w:rPr>
          <w:rFonts w:ascii="楷体" w:eastAsia="楷体" w:hAnsi="楷体" w:hint="eastAsia"/>
          <w:color w:val="000000"/>
          <w:sz w:val="30"/>
          <w:szCs w:val="30"/>
        </w:rPr>
        <w:t>司法辅助工作情况分析报告</w:t>
      </w:r>
    </w:p>
    <w:p w:rsidR="005D2E09" w:rsidRDefault="005D2E09" w:rsidP="005D2E09">
      <w:pPr>
        <w:pStyle w:val="a6"/>
        <w:ind w:firstLine="420"/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司法辅助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t>结论是诉讼证据之一</w:t>
      </w:r>
      <w:r>
        <w:rPr>
          <w:rFonts w:ascii="楷体" w:eastAsia="楷体" w:hAnsi="楷体" w:hint="eastAsia"/>
          <w:color w:val="000000"/>
          <w:sz w:val="30"/>
          <w:szCs w:val="30"/>
        </w:rPr>
        <w:t>，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t>证据问题是诉讼活动的核心问题，与诉讼的实体内容直接相关，对人民法院的审判活动有十分重要的意义。2018年度，我院申请司法辅助案件共计211件，其中包含申请鉴定192件、申请评估19件。截止到2018年11月22日，已结185件，未结26件。</w:t>
      </w:r>
      <w:r>
        <w:rPr>
          <w:rFonts w:ascii="楷体" w:eastAsia="楷体" w:hAnsi="楷体" w:hint="eastAsia"/>
          <w:color w:val="000000"/>
          <w:sz w:val="30"/>
          <w:szCs w:val="30"/>
        </w:rPr>
        <w:t>现将我院司法辅助工作总结如下：</w:t>
      </w:r>
    </w:p>
    <w:p w:rsidR="005D2E09" w:rsidRDefault="005D2E09" w:rsidP="005D2E09">
      <w:pPr>
        <w:pStyle w:val="a6"/>
        <w:numPr>
          <w:ilvl w:val="0"/>
          <w:numId w:val="1"/>
        </w:numPr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司法辅助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t>程序的启动及委托</w:t>
      </w:r>
      <w:r>
        <w:rPr>
          <w:rFonts w:ascii="楷体" w:eastAsia="楷体" w:hAnsi="楷体" w:hint="eastAsia"/>
          <w:color w:val="000000"/>
          <w:sz w:val="30"/>
          <w:szCs w:val="30"/>
        </w:rPr>
        <w:t>：</w:t>
      </w:r>
    </w:p>
    <w:p w:rsidR="005D2E09" w:rsidRDefault="005D2E09" w:rsidP="005D2E09">
      <w:pPr>
        <w:pStyle w:val="a6"/>
        <w:ind w:left="600"/>
        <w:rPr>
          <w:rFonts w:ascii="楷体" w:eastAsia="楷体" w:hAnsi="楷体" w:hint="eastAsia"/>
          <w:color w:val="000000"/>
          <w:sz w:val="30"/>
          <w:szCs w:val="30"/>
        </w:rPr>
      </w:pPr>
      <w:r w:rsidRPr="005D2E09">
        <w:rPr>
          <w:rFonts w:ascii="楷体" w:eastAsia="楷体" w:hAnsi="楷体" w:hint="eastAsia"/>
          <w:color w:val="000000"/>
          <w:sz w:val="30"/>
          <w:szCs w:val="30"/>
        </w:rPr>
        <w:t>最高院《关于民事诉讼证据的若干规定》第二十六条规定，</w:t>
      </w:r>
    </w:p>
    <w:p w:rsidR="005D2E09" w:rsidRDefault="005D2E09" w:rsidP="005D2E09">
      <w:pPr>
        <w:pStyle w:val="a6"/>
        <w:rPr>
          <w:rFonts w:ascii="楷体" w:eastAsia="楷体" w:hAnsi="楷体" w:hint="eastAsia"/>
          <w:color w:val="000000"/>
          <w:sz w:val="30"/>
          <w:szCs w:val="30"/>
        </w:rPr>
      </w:pPr>
      <w:r w:rsidRPr="005D2E09">
        <w:rPr>
          <w:rFonts w:ascii="楷体" w:eastAsia="楷体" w:hAnsi="楷体" w:hint="eastAsia"/>
          <w:color w:val="000000"/>
          <w:sz w:val="30"/>
          <w:szCs w:val="30"/>
        </w:rPr>
        <w:t>当事人申请鉴定经人民法院同意后，由双方当事人协商确定有鉴定资格的鉴定机构、鉴定人员，协商不成的由人民法院指定。《人民法院对外委托司法鉴定管理规定》第二条规定，人民法院司法鉴定机构负责统一对外委托和组织司法鉴定。</w:t>
      </w:r>
      <w:r>
        <w:rPr>
          <w:rFonts w:ascii="楷体" w:eastAsia="楷体" w:hAnsi="楷体" w:hint="eastAsia"/>
          <w:color w:val="000000"/>
          <w:sz w:val="30"/>
          <w:szCs w:val="30"/>
        </w:rPr>
        <w:t>我院在审理案件时，如果当事人申请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t>启动鉴定程序，</w:t>
      </w:r>
      <w:r>
        <w:rPr>
          <w:rFonts w:ascii="楷体" w:eastAsia="楷体" w:hAnsi="楷体" w:hint="eastAsia"/>
          <w:color w:val="000000"/>
          <w:sz w:val="30"/>
          <w:szCs w:val="30"/>
        </w:rPr>
        <w:t>由承办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t>法官将委托申请鉴定的事项交给</w:t>
      </w:r>
      <w:r>
        <w:rPr>
          <w:rFonts w:ascii="楷体" w:eastAsia="楷体" w:hAnsi="楷体" w:hint="eastAsia"/>
          <w:color w:val="000000"/>
          <w:sz w:val="30"/>
          <w:szCs w:val="30"/>
        </w:rPr>
        <w:t>立案庭，由立案庭转交上级法院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t>司法鉴定部门鉴定。</w:t>
      </w:r>
    </w:p>
    <w:p w:rsidR="005D2E09" w:rsidRDefault="005D2E09" w:rsidP="005D2E09">
      <w:pPr>
        <w:pStyle w:val="a6"/>
        <w:numPr>
          <w:ilvl w:val="0"/>
          <w:numId w:val="1"/>
        </w:numPr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启动司法辅助程序的案由分布：</w:t>
      </w:r>
    </w:p>
    <w:p w:rsidR="005D2E09" w:rsidRDefault="005D2E09" w:rsidP="005D2E09">
      <w:pPr>
        <w:pStyle w:val="a6"/>
        <w:ind w:left="600"/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经统计，我院申请司法辅助案件的大多数为机动车道路交通</w:t>
      </w:r>
    </w:p>
    <w:p w:rsidR="005D2E09" w:rsidRDefault="005D2E09" w:rsidP="005D2E09">
      <w:pPr>
        <w:pStyle w:val="a6"/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事故责任纠纷案件、生命</w:t>
      </w:r>
      <w:proofErr w:type="gramStart"/>
      <w:r>
        <w:rPr>
          <w:rFonts w:ascii="楷体" w:eastAsia="楷体" w:hAnsi="楷体" w:hint="eastAsia"/>
          <w:color w:val="000000"/>
          <w:sz w:val="30"/>
          <w:szCs w:val="30"/>
        </w:rPr>
        <w:t>权健康权身体</w:t>
      </w:r>
      <w:proofErr w:type="gramEnd"/>
      <w:r>
        <w:rPr>
          <w:rFonts w:ascii="楷体" w:eastAsia="楷体" w:hAnsi="楷体" w:hint="eastAsia"/>
          <w:color w:val="000000"/>
          <w:sz w:val="30"/>
          <w:szCs w:val="30"/>
        </w:rPr>
        <w:t>权纠纷、建筑工程施工合同纠纷案件。</w:t>
      </w:r>
    </w:p>
    <w:p w:rsidR="005D2E09" w:rsidRDefault="005D2E09" w:rsidP="00CD43DA">
      <w:pPr>
        <w:pStyle w:val="a6"/>
        <w:numPr>
          <w:ilvl w:val="0"/>
          <w:numId w:val="1"/>
        </w:numPr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启动司法辅助程序案件的</w:t>
      </w:r>
      <w:r w:rsidR="00CD43DA">
        <w:rPr>
          <w:rFonts w:ascii="楷体" w:eastAsia="楷体" w:hAnsi="楷体" w:hint="eastAsia"/>
          <w:color w:val="000000"/>
          <w:sz w:val="30"/>
          <w:szCs w:val="30"/>
        </w:rPr>
        <w:t>特点：</w:t>
      </w:r>
    </w:p>
    <w:p w:rsidR="00174B79" w:rsidRDefault="00CD43DA" w:rsidP="00CD43DA">
      <w:pPr>
        <w:pStyle w:val="a6"/>
        <w:ind w:firstLineChars="200" w:firstLine="600"/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严重影响案件的审理期限，审理天数过长。我院审</w:t>
      </w:r>
      <w:r w:rsidRPr="00CD43DA">
        <w:rPr>
          <w:rFonts w:ascii="楷体" w:eastAsia="楷体" w:hAnsi="楷体" w:hint="eastAsia"/>
          <w:color w:val="000000"/>
          <w:sz w:val="30"/>
          <w:szCs w:val="30"/>
        </w:rPr>
        <w:t>理期限过长案件进行统计，大多数为申请司法鉴定、评估案件。</w:t>
      </w:r>
      <w:r>
        <w:rPr>
          <w:rFonts w:ascii="楷体" w:eastAsia="楷体" w:hAnsi="楷体" w:hint="eastAsia"/>
          <w:color w:val="000000"/>
          <w:sz w:val="30"/>
          <w:szCs w:val="30"/>
        </w:rPr>
        <w:t>缺少相关</w:t>
      </w:r>
      <w:r>
        <w:rPr>
          <w:rFonts w:ascii="楷体" w:eastAsia="楷体" w:hAnsi="楷体" w:hint="eastAsia"/>
          <w:color w:val="000000"/>
          <w:sz w:val="30"/>
          <w:szCs w:val="30"/>
        </w:rPr>
        <w:lastRenderedPageBreak/>
        <w:t>法律规定约束</w:t>
      </w:r>
      <w:r w:rsidR="00174B79" w:rsidRPr="005D2E09">
        <w:rPr>
          <w:rFonts w:ascii="楷体" w:eastAsia="楷体" w:hAnsi="楷体" w:hint="eastAsia"/>
          <w:color w:val="000000"/>
          <w:sz w:val="30"/>
          <w:szCs w:val="30"/>
        </w:rPr>
        <w:t>鉴定程序启动后，规定法官应当在多长期限内移送司法鉴定部门进行委托鉴定。为此建议最高院在《关于民事诉讼证据的若干规定》和《人民法院司法鉴定工作暂行规定》中增加以下规定：当事人对司法鉴定具有申请权，哪些是必要的鉴定事项，司法人员不同意当事人申请鉴定应</w:t>
      </w:r>
      <w:proofErr w:type="gramStart"/>
      <w:r w:rsidR="00174B79" w:rsidRPr="005D2E09">
        <w:rPr>
          <w:rFonts w:ascii="楷体" w:eastAsia="楷体" w:hAnsi="楷体" w:hint="eastAsia"/>
          <w:color w:val="000000"/>
          <w:sz w:val="30"/>
          <w:szCs w:val="30"/>
        </w:rPr>
        <w:t>附理由</w:t>
      </w:r>
      <w:proofErr w:type="gramEnd"/>
      <w:r w:rsidR="00174B79" w:rsidRPr="005D2E09">
        <w:rPr>
          <w:rFonts w:ascii="楷体" w:eastAsia="楷体" w:hAnsi="楷体" w:hint="eastAsia"/>
          <w:color w:val="000000"/>
          <w:sz w:val="30"/>
          <w:szCs w:val="30"/>
        </w:rPr>
        <w:t>说明，对司法机关的裁定，当事人可以申请复议。鉴定程序启动后，对委托司法鉴定机构鉴定期限，对委托鉴定活动的督监等做出规范。</w:t>
      </w:r>
    </w:p>
    <w:p w:rsidR="00CD43DA" w:rsidRPr="005D2E09" w:rsidRDefault="00CD43DA" w:rsidP="00CD43DA">
      <w:pPr>
        <w:pStyle w:val="a6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四、申请司法辅助存在的问题：</w:t>
      </w:r>
    </w:p>
    <w:p w:rsidR="00174B79" w:rsidRPr="005D2E09" w:rsidRDefault="00CD43DA" w:rsidP="00CD43DA">
      <w:pPr>
        <w:pStyle w:val="a6"/>
        <w:ind w:firstLineChars="200" w:firstLine="600"/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（一）</w:t>
      </w:r>
      <w:r w:rsidR="00174B79" w:rsidRPr="005D2E09">
        <w:rPr>
          <w:rFonts w:ascii="楷体" w:eastAsia="楷体" w:hAnsi="楷体" w:hint="eastAsia"/>
          <w:color w:val="000000"/>
          <w:sz w:val="30"/>
          <w:szCs w:val="30"/>
        </w:rPr>
        <w:t>我国至今没有一部全国统一的司法鉴定法，对司法鉴定的法律规定分散于三大诉讼法中。由于没有规范司法鉴定的统一法律，只有各部门规定的调整特定范围的司法鉴定规则，存在的突出问题是：鉴定的标准和效力层次无统一规范，鉴定的程序和无统一规则，鉴定的受案范围无统一标准；鉴定的执业分类无统一规定；鉴定的管理无统一的主管部门，鉴定的法律责任无统一的确认体系等等。当前，不同层次的司法鉴定机构之间受理鉴定的范围不明确。这主要是因为没有一套科学完备的有关鉴定受理的统一制度。</w:t>
      </w:r>
    </w:p>
    <w:p w:rsidR="00174B79" w:rsidRPr="005D2E09" w:rsidRDefault="00174B79" w:rsidP="005D2E09">
      <w:pPr>
        <w:pStyle w:val="a6"/>
        <w:rPr>
          <w:rFonts w:ascii="楷体" w:eastAsia="楷体" w:hAnsi="楷体" w:hint="eastAsia"/>
          <w:color w:val="000000"/>
          <w:sz w:val="30"/>
          <w:szCs w:val="30"/>
        </w:rPr>
      </w:pPr>
      <w:r w:rsidRPr="005D2E09">
        <w:rPr>
          <w:rFonts w:ascii="楷体" w:eastAsia="楷体" w:hAnsi="新宋体" w:hint="eastAsia"/>
          <w:color w:val="000000"/>
          <w:sz w:val="30"/>
          <w:szCs w:val="30"/>
        </w:rPr>
        <w:t>  </w:t>
      </w:r>
      <w:r w:rsidR="00CD43DA">
        <w:rPr>
          <w:rFonts w:ascii="楷体" w:eastAsia="楷体" w:hAnsi="楷体" w:hint="eastAsia"/>
          <w:color w:val="000000"/>
          <w:sz w:val="30"/>
          <w:szCs w:val="30"/>
        </w:rPr>
        <w:t>（二）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t>预交鉴定费存在的问题</w:t>
      </w:r>
    </w:p>
    <w:p w:rsidR="00174B79" w:rsidRPr="005D2E09" w:rsidRDefault="00174B79" w:rsidP="00CD43DA">
      <w:pPr>
        <w:pStyle w:val="a6"/>
        <w:ind w:firstLineChars="200" w:firstLine="600"/>
        <w:rPr>
          <w:rFonts w:ascii="楷体" w:eastAsia="楷体" w:hAnsi="楷体" w:hint="eastAsia"/>
          <w:color w:val="000000"/>
          <w:sz w:val="30"/>
          <w:szCs w:val="30"/>
        </w:rPr>
      </w:pPr>
      <w:r w:rsidRPr="005D2E09">
        <w:rPr>
          <w:rFonts w:ascii="楷体" w:eastAsia="楷体" w:hAnsi="楷体" w:hint="eastAsia"/>
          <w:color w:val="000000"/>
          <w:sz w:val="30"/>
          <w:szCs w:val="30"/>
        </w:rPr>
        <w:t>当事人申请鉴定后，若不交鉴定费，无法判定鉴定人是否真正要求鉴定或有可能中途放弃鉴定，即不交鉴定费前，当事人申请鉴定处于不确定状态，假如法院硬组织开展了后继工作，申请方不交鉴定费或知道了对自己不利的鉴定结果，放弃申请鉴定，</w:t>
      </w:r>
      <w:r w:rsidRPr="005D2E09">
        <w:rPr>
          <w:rFonts w:ascii="楷体" w:eastAsia="楷体" w:hAnsi="楷体" w:hint="eastAsia"/>
          <w:color w:val="000000"/>
          <w:sz w:val="30"/>
          <w:szCs w:val="30"/>
        </w:rPr>
        <w:lastRenderedPageBreak/>
        <w:t>而鉴定机构是依照法院的委托开展了鉴定工作，鉴定费是向法院收取的，至使法院工作处于被动状态。</w:t>
      </w:r>
    </w:p>
    <w:p w:rsidR="00174B79" w:rsidRPr="005D2E09" w:rsidRDefault="00174B79" w:rsidP="00CD43DA">
      <w:pPr>
        <w:pStyle w:val="a6"/>
        <w:rPr>
          <w:rFonts w:ascii="楷体" w:eastAsia="楷体" w:hAnsi="楷体" w:hint="eastAsia"/>
          <w:color w:val="000000"/>
          <w:sz w:val="30"/>
          <w:szCs w:val="30"/>
        </w:rPr>
      </w:pPr>
      <w:r w:rsidRPr="005D2E09">
        <w:rPr>
          <w:rFonts w:ascii="楷体" w:eastAsia="楷体" w:hAnsi="新宋体" w:hint="eastAsia"/>
          <w:color w:val="000000"/>
          <w:sz w:val="30"/>
          <w:szCs w:val="30"/>
        </w:rPr>
        <w:t> </w:t>
      </w:r>
    </w:p>
    <w:p w:rsidR="00174B79" w:rsidRPr="005D2E09" w:rsidRDefault="00174B79" w:rsidP="005D2E09">
      <w:pPr>
        <w:pStyle w:val="a6"/>
        <w:rPr>
          <w:rFonts w:ascii="楷体" w:eastAsia="楷体" w:hAnsi="楷体"/>
          <w:sz w:val="30"/>
          <w:szCs w:val="30"/>
        </w:rPr>
      </w:pPr>
    </w:p>
    <w:sectPr w:rsidR="00174B79" w:rsidRPr="005D2E09" w:rsidSect="00941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58" w:rsidRDefault="00514F58" w:rsidP="00D129F7">
      <w:r>
        <w:separator/>
      </w:r>
    </w:p>
  </w:endnote>
  <w:endnote w:type="continuationSeparator" w:id="0">
    <w:p w:rsidR="00514F58" w:rsidRDefault="00514F58" w:rsidP="00D1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58" w:rsidRDefault="00514F58" w:rsidP="00D129F7">
      <w:r>
        <w:separator/>
      </w:r>
    </w:p>
  </w:footnote>
  <w:footnote w:type="continuationSeparator" w:id="0">
    <w:p w:rsidR="00514F58" w:rsidRDefault="00514F58" w:rsidP="00D12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966"/>
    <w:multiLevelType w:val="hybridMultilevel"/>
    <w:tmpl w:val="EE16563E"/>
    <w:lvl w:ilvl="0" w:tplc="483807C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2A3045"/>
    <w:multiLevelType w:val="hybridMultilevel"/>
    <w:tmpl w:val="8260FF58"/>
    <w:lvl w:ilvl="0" w:tplc="500A28E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9F7"/>
    <w:rsid w:val="00174B79"/>
    <w:rsid w:val="00514F58"/>
    <w:rsid w:val="005D2E09"/>
    <w:rsid w:val="00941829"/>
    <w:rsid w:val="00CD43DA"/>
    <w:rsid w:val="00D1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9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9F7"/>
    <w:rPr>
      <w:sz w:val="18"/>
      <w:szCs w:val="18"/>
    </w:rPr>
  </w:style>
  <w:style w:type="character" w:styleId="a5">
    <w:name w:val="Strong"/>
    <w:basedOn w:val="a0"/>
    <w:uiPriority w:val="22"/>
    <w:qFormat/>
    <w:rsid w:val="00D129F7"/>
    <w:rPr>
      <w:b/>
      <w:bCs/>
    </w:rPr>
  </w:style>
  <w:style w:type="paragraph" w:styleId="a6">
    <w:name w:val="No Spacing"/>
    <w:uiPriority w:val="1"/>
    <w:qFormat/>
    <w:rsid w:val="00D129F7"/>
    <w:pPr>
      <w:widowControl w:val="0"/>
      <w:jc w:val="both"/>
    </w:pPr>
  </w:style>
  <w:style w:type="paragraph" w:styleId="a7">
    <w:name w:val="Normal (Web)"/>
    <w:basedOn w:val="a"/>
    <w:uiPriority w:val="99"/>
    <w:semiHidden/>
    <w:unhideWhenUsed/>
    <w:rsid w:val="00174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2018-11-22T02:07:00Z</dcterms:created>
  <dcterms:modified xsi:type="dcterms:W3CDTF">2018-11-22T02:07:00Z</dcterms:modified>
</cp:coreProperties>
</file>